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eastAsia="lt-LT"/>
        </w:rPr>
        <w:drawing>
          <wp:inline distT="0" distB="0" distL="0" distR="0" wp14:anchorId="4A71FC51" wp14:editId="11E99183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>
      <w:pPr>
        <w:rPr>
          <w:sz w:val="20"/>
        </w:rPr>
      </w:pPr>
    </w:p>
    <w:p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>
      <w:pPr>
        <w:rPr>
          <w:sz w:val="44"/>
          <w:szCs w:val="44"/>
        </w:rPr>
      </w:pPr>
    </w:p>
    <w:p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Dėl </w:t>
      </w:r>
      <w:r>
        <w:rPr>
          <w:rFonts w:ascii="Times New Roman Bold" w:hAnsi="Times New Roman Bold"/>
          <w:b/>
          <w:bCs/>
        </w:rPr>
        <w:t>GELVONŲ HERBO TVIRTINIMO</w:t>
      </w:r>
    </w:p>
    <w:p>
      <w:pPr>
        <w:rPr>
          <w:sz w:val="42"/>
          <w:szCs w:val="42"/>
        </w:rPr>
      </w:pPr>
    </w:p>
    <w:p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balandžio 14 d. Nr. 1K-627</w:t>
      </w:r>
    </w:p>
    <w:p>
      <w:pPr>
        <w:jc w:val="center"/>
      </w:pPr>
      <w:r>
        <w:t>Vilnius</w:t>
      </w:r>
    </w:p>
    <w:p>
      <w:pPr>
        <w:rPr>
          <w:sz w:val="42"/>
          <w:szCs w:val="42"/>
        </w:rPr>
      </w:pPr>
    </w:p>
    <w:p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Respublikos valstybės herbo, kitų herbų ir herbinių ženklų įstatymo 10 straipsnio 1 dalimi ir atsižvelgdama į Lietuvos heraldikos komisijos teikimą, </w:t>
      </w:r>
    </w:p>
    <w:p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t v i r t i n u Gelvonų herbą (herbo etalono grafinis piešinys pridedamas).</w:t>
      </w:r>
    </w:p>
    <w:p>
      <w:pPr>
        <w:rPr>
          <w:sz w:val="126"/>
          <w:szCs w:val="126"/>
        </w:rPr>
      </w:pPr>
    </w:p>
    <w:p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  <w:tab/>
        <w:t>Dalia Grybauskaitė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369</Characters>
  <Application>Microsoft Office Word</Application>
  <DocSecurity>4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2016-04-14T10:19:00Z</dcterms:created>
  <dc:creator>Ieva Budrevičiūtė</dc:creator>
  <lastModifiedBy>Adlib User</lastModifiedBy>
  <dcterms:modified xsi:type="dcterms:W3CDTF">2016-04-14T10:19:00Z</dcterms:modified>
  <revision>2</revision>
  <dc:title>DEKRETAS</dc:title>
</coreProperties>
</file>