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62DF" w14:textId="77777777" w:rsidR="00FD7790" w:rsidRDefault="00A74566">
      <w:pPr>
        <w:overflowPunct w:val="0"/>
        <w:spacing w:line="276" w:lineRule="auto"/>
        <w:jc w:val="center"/>
      </w:pPr>
      <w:r>
        <w:rPr>
          <w:noProof/>
          <w:szCs w:val="24"/>
          <w:lang w:eastAsia="lt-LT"/>
        </w:rPr>
        <w:drawing>
          <wp:inline distT="0" distB="0" distL="0" distR="0" wp14:anchorId="66A062F0" wp14:editId="66A062F1">
            <wp:extent cx="5524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62E0" w14:textId="77777777" w:rsidR="00FD7790" w:rsidRDefault="00A74566">
      <w:pPr>
        <w:overflowPunct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LIETUVOS MOKSLO TARYBA </w:t>
      </w:r>
    </w:p>
    <w:p w14:paraId="66A062E1" w14:textId="77777777" w:rsidR="00FD7790" w:rsidRDefault="00FD7790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spacing w:line="276" w:lineRule="auto"/>
        <w:jc w:val="center"/>
        <w:rPr>
          <w:b/>
        </w:rPr>
      </w:pPr>
    </w:p>
    <w:p w14:paraId="66A062E2" w14:textId="77777777" w:rsidR="00FD7790" w:rsidRDefault="00A74566">
      <w:pPr>
        <w:keepLines/>
        <w:widowControl w:val="0"/>
        <w:tabs>
          <w:tab w:val="left" w:pos="993"/>
        </w:tabs>
        <w:suppressAutoHyphens/>
        <w:spacing w:line="276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NUTARIMAS</w:t>
      </w:r>
    </w:p>
    <w:p w14:paraId="66A062E3" w14:textId="77777777" w:rsidR="00FD7790" w:rsidRDefault="00A74566">
      <w:pPr>
        <w:keepLines/>
        <w:widowControl w:val="0"/>
        <w:tabs>
          <w:tab w:val="left" w:pos="993"/>
        </w:tabs>
        <w:suppressAutoHyphens/>
        <w:spacing w:line="276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MOKSLO TARYBOS 2014 m. gegužės 26 d. NUTARIMO nr. VIII-21 „DĖL LIETUVOS MOKSLO TARYBOS EKSPERTŲ SKYRIMO IR VEIKLOS BENDRŲJŲ TAISYKLIŲ PATVIRTINIMO</w:t>
      </w:r>
      <w:r>
        <w:rPr>
          <w:b/>
          <w:color w:val="000000"/>
          <w:szCs w:val="24"/>
          <w:lang w:eastAsia="lt-LT"/>
        </w:rPr>
        <w:t xml:space="preserve">“ </w:t>
      </w:r>
      <w:r>
        <w:rPr>
          <w:b/>
          <w:szCs w:val="24"/>
          <w:lang w:eastAsia="lt-LT"/>
        </w:rPr>
        <w:t>PAKEITIMO</w:t>
      </w:r>
    </w:p>
    <w:p w14:paraId="66A062E4" w14:textId="77777777" w:rsidR="00FD7790" w:rsidRDefault="00FD7790">
      <w:pPr>
        <w:widowControl w:val="0"/>
        <w:tabs>
          <w:tab w:val="left" w:pos="993"/>
        </w:tabs>
        <w:suppressAutoHyphens/>
        <w:spacing w:line="276" w:lineRule="auto"/>
        <w:jc w:val="both"/>
        <w:rPr>
          <w:color w:val="000000"/>
          <w:szCs w:val="24"/>
          <w:lang w:eastAsia="lt-LT"/>
        </w:rPr>
      </w:pPr>
    </w:p>
    <w:p w14:paraId="66A062E5" w14:textId="77777777" w:rsidR="00FD7790" w:rsidRDefault="00A74566">
      <w:pPr>
        <w:keepLines/>
        <w:widowControl w:val="0"/>
        <w:tabs>
          <w:tab w:val="left" w:pos="993"/>
        </w:tabs>
        <w:suppressAutoHyphens/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2016 m. lapkričio 28 d. Nr. VIII-18</w:t>
      </w:r>
    </w:p>
    <w:p w14:paraId="66A062E6" w14:textId="77777777" w:rsidR="00FD7790" w:rsidRDefault="00A74566">
      <w:pPr>
        <w:keepLines/>
        <w:widowControl w:val="0"/>
        <w:tabs>
          <w:tab w:val="left" w:pos="993"/>
        </w:tabs>
        <w:suppressAutoHyphens/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6A062E7" w14:textId="77777777" w:rsidR="00FD7790" w:rsidRDefault="00FD7790"/>
    <w:p w14:paraId="66A062E8" w14:textId="77777777" w:rsidR="00FD7790" w:rsidRDefault="00FD7790"/>
    <w:p w14:paraId="66A062E9" w14:textId="77777777" w:rsidR="00FD7790" w:rsidRDefault="00A74566">
      <w:pPr>
        <w:ind w:firstLine="567"/>
        <w:jc w:val="both"/>
      </w:pPr>
      <w:r>
        <w:t xml:space="preserve">Lietuvos mokslo taryba (toliau – Taryba) </w:t>
      </w:r>
      <w:r>
        <w:rPr>
          <w:spacing w:val="60"/>
        </w:rPr>
        <w:t>nutaria</w:t>
      </w:r>
      <w:r>
        <w:t>:</w:t>
      </w:r>
    </w:p>
    <w:p w14:paraId="66A062EA" w14:textId="77777777" w:rsidR="00FD7790" w:rsidRDefault="00A74566">
      <w:pPr>
        <w:ind w:firstLine="567"/>
        <w:jc w:val="both"/>
      </w:pPr>
      <w:r>
        <w:t>Pakeisti Lietuvos mokslo tarybos ekspertų skyrimo ir veiklos bendrųjų taisyklių, patvirtintų Tarybos 2014 m. gegužės 26 d. nutarimu Nr. VIII-21 „Dėl Lietuvos mokslo tarybos ekspertų skyrimo ir veiklos ben</w:t>
      </w:r>
      <w:r>
        <w:t xml:space="preserve">drųjų taisyklių patvirtinimo“, 40 punktą ir jį išdėstyti taip: </w:t>
      </w:r>
    </w:p>
    <w:p w14:paraId="66A062EE" w14:textId="2D07C963" w:rsidR="00FD7790" w:rsidRDefault="00A74566" w:rsidP="00A74566">
      <w:pPr>
        <w:ind w:firstLine="567"/>
        <w:jc w:val="both"/>
      </w:pPr>
      <w:r>
        <w:t>„</w:t>
      </w:r>
      <w:r>
        <w:t>40</w:t>
      </w:r>
      <w:r>
        <w:t xml:space="preserve">. </w:t>
      </w:r>
      <w:r>
        <w:rPr>
          <w:sz w:val="23"/>
          <w:szCs w:val="23"/>
        </w:rPr>
        <w:t xml:space="preserve">Taryba kiekvienų nelyginių metų pirmąjį ketvirtį svetainėje </w:t>
      </w:r>
      <w:proofErr w:type="spellStart"/>
      <w:r>
        <w:rPr>
          <w:sz w:val="23"/>
          <w:szCs w:val="23"/>
        </w:rPr>
        <w:t>www.lmt.lt</w:t>
      </w:r>
      <w:proofErr w:type="spellEnd"/>
      <w:r>
        <w:rPr>
          <w:sz w:val="23"/>
          <w:szCs w:val="23"/>
        </w:rPr>
        <w:t xml:space="preserve"> skelbia ekspertų, atlikusių ekspertinį darbą per paskutinių dvejų kalendorinių metų laikotarpį, tai yra, baigusių </w:t>
      </w:r>
      <w:r>
        <w:rPr>
          <w:sz w:val="23"/>
          <w:szCs w:val="23"/>
        </w:rPr>
        <w:t>ekspertinį darbą ne anksčiau kaip priešpaskutinių nelyginių metų pirmą dieną ir ne vėliau kaip lyginių metų paskutinę dieną, sąrašą. Sąraše ekspertų pavardės išdėstomos abėcėlės tvarka, nurodant ir eksperto vardo (-ų) pirmąją (-</w:t>
      </w:r>
      <w:proofErr w:type="spellStart"/>
      <w:r>
        <w:rPr>
          <w:sz w:val="23"/>
          <w:szCs w:val="23"/>
        </w:rPr>
        <w:t>ąsias</w:t>
      </w:r>
      <w:proofErr w:type="spellEnd"/>
      <w:r>
        <w:rPr>
          <w:sz w:val="23"/>
          <w:szCs w:val="23"/>
        </w:rPr>
        <w:t>) raidę (-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>). Papildom</w:t>
      </w:r>
      <w:r>
        <w:rPr>
          <w:sz w:val="23"/>
          <w:szCs w:val="23"/>
        </w:rPr>
        <w:t xml:space="preserve">ai </w:t>
      </w:r>
      <w:r>
        <w:t xml:space="preserve">Taryba gali skelbti ekspertų sąrašą kitomis sąlygomis, negu nustatyta šiame punkte, jeigu tai numato kiti teisės aktai.“ </w:t>
      </w:r>
    </w:p>
    <w:p w14:paraId="069E010B" w14:textId="77777777" w:rsidR="00A74566" w:rsidRDefault="00A74566">
      <w:pPr>
        <w:tabs>
          <w:tab w:val="left" w:pos="7371"/>
        </w:tabs>
      </w:pPr>
    </w:p>
    <w:p w14:paraId="29990325" w14:textId="77777777" w:rsidR="00A74566" w:rsidRDefault="00A74566">
      <w:pPr>
        <w:tabs>
          <w:tab w:val="left" w:pos="7371"/>
        </w:tabs>
      </w:pPr>
      <w:bookmarkStart w:id="0" w:name="_GoBack"/>
      <w:bookmarkEnd w:id="0"/>
    </w:p>
    <w:p w14:paraId="6E1A7AA1" w14:textId="77777777" w:rsidR="00A74566" w:rsidRDefault="00A74566">
      <w:pPr>
        <w:tabs>
          <w:tab w:val="left" w:pos="7371"/>
        </w:tabs>
      </w:pPr>
    </w:p>
    <w:p w14:paraId="66A062EF" w14:textId="769ABEDC" w:rsidR="00FD7790" w:rsidRDefault="00A74566" w:rsidP="00A74566">
      <w:pPr>
        <w:tabs>
          <w:tab w:val="left" w:pos="7938"/>
        </w:tabs>
      </w:pPr>
      <w:r>
        <w:t xml:space="preserve">Tarybos pirmininkas </w:t>
      </w:r>
      <w:r>
        <w:tab/>
        <w:t>Dainius H. Pauža</w:t>
      </w:r>
    </w:p>
    <w:sectPr w:rsidR="00FD77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7"/>
    <w:rsid w:val="00A74566"/>
    <w:rsid w:val="00BA2CE7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6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2016-11-29T14:00:00Z</dcterms:created>
  <dc:creator>Agnė Palevičiūtė</dc:creator>
  <lastModifiedBy>GUMBYTĖ Danguolė</lastModifiedBy>
  <lastPrinted>2016-11-29T09:46:00Z</lastPrinted>
  <dcterms:modified xsi:type="dcterms:W3CDTF">2016-11-30T06:58:00Z</dcterms:modified>
  <revision>3</revision>
</coreProperties>
</file>