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6B4FC00" wp14:editId="3834530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ADMINISTRACINIŲ NUSIŽENGIMŲ KODEKSO 589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XIV-530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56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589 straipsnio pakeitimas</w:t>
      </w:r>
    </w:p>
    <w:p>
      <w:pPr>
        <w:tabs>
          <w:tab w:val="left" w:pos="567"/>
        </w:tabs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589 straipsnio 95 punktą ir jį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95</w:t>
      </w:r>
      <w:r>
        <w:rPr>
          <w:color w:val="000000"/>
          <w:szCs w:val="24"/>
        </w:rPr>
        <w:t>) jūrų uostų kapitonai – dėl šio kodekso 399, 400 straipsniuose, 434 straipsnio 3 dalyje, 458, 505 straipsniuose numatytų administracinių nusižengimų;“.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Šis įstatymas įsigalioja 2023 m. sausio 2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503</Characters>
  <Application>Microsoft Office Word</Application>
  <DocSecurity>4</DocSecurity>
  <Lines>25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2021-09-17T12:42:00Z</dcterms:created>
  <dc:creator>MOZERĖ Dainora</dc:creator>
  <lastModifiedBy>adlibuser</lastModifiedBy>
  <lastPrinted>2021-09-16T09:32:00Z</lastPrinted>
  <dcterms:modified xsi:type="dcterms:W3CDTF">2021-09-17T12:42:00Z</dcterms:modified>
  <revision>2</revision>
</coreProperties>
</file>