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E4" w:rsidRDefault="00E027E4" w:rsidP="00E027E4">
      <w:pPr>
        <w:tabs>
          <w:tab w:val="left" w:pos="993"/>
        </w:tabs>
        <w:ind w:firstLine="10773"/>
        <w:rPr>
          <w:bCs/>
          <w:sz w:val="20"/>
        </w:rPr>
      </w:pPr>
      <w:r>
        <w:rPr>
          <w:sz w:val="20"/>
        </w:rPr>
        <w:t xml:space="preserve">Duomenų apie </w:t>
      </w:r>
      <w:r>
        <w:rPr>
          <w:bCs/>
          <w:sz w:val="20"/>
        </w:rPr>
        <w:t xml:space="preserve">druską, maisto papildus (vitaminus) </w:t>
      </w:r>
    </w:p>
    <w:p w:rsidR="009D13F8" w:rsidRDefault="00E027E4" w:rsidP="00E027E4">
      <w:pPr>
        <w:tabs>
          <w:tab w:val="left" w:pos="993"/>
        </w:tabs>
        <w:ind w:firstLine="10773"/>
        <w:rPr>
          <w:sz w:val="20"/>
        </w:rPr>
      </w:pPr>
      <w:r>
        <w:rPr>
          <w:bCs/>
          <w:sz w:val="20"/>
        </w:rPr>
        <w:t>ir mišinėlius kūdikiams</w:t>
      </w:r>
      <w:r>
        <w:rPr>
          <w:b/>
          <w:sz w:val="20"/>
        </w:rPr>
        <w:t xml:space="preserve">  </w:t>
      </w:r>
      <w:r>
        <w:rPr>
          <w:sz w:val="20"/>
        </w:rPr>
        <w:t xml:space="preserve">teikimo taisyklių </w:t>
      </w:r>
      <w:r>
        <w:rPr>
          <w:sz w:val="20"/>
        </w:rPr>
        <w:t>1</w:t>
      </w:r>
      <w:r>
        <w:rPr>
          <w:sz w:val="20"/>
        </w:rPr>
        <w:t xml:space="preserve"> priedas</w:t>
      </w:r>
    </w:p>
    <w:p w:rsidR="009D13F8" w:rsidRDefault="009D13F8">
      <w:pPr>
        <w:tabs>
          <w:tab w:val="left" w:pos="567"/>
        </w:tabs>
        <w:ind w:left="284" w:right="2096" w:firstLine="165"/>
        <w:jc w:val="center"/>
        <w:rPr>
          <w:rFonts w:ascii="Calibri Light" w:hAnsi="Calibri Light"/>
          <w:spacing w:val="-10"/>
          <w:kern w:val="28"/>
          <w:sz w:val="16"/>
          <w:szCs w:val="16"/>
        </w:rPr>
      </w:pPr>
    </w:p>
    <w:p w:rsidR="009D13F8" w:rsidRDefault="00E027E4">
      <w:pPr>
        <w:tabs>
          <w:tab w:val="left" w:pos="0"/>
        </w:tabs>
        <w:ind w:right="11"/>
        <w:jc w:val="center"/>
        <w:rPr>
          <w:b/>
          <w:spacing w:val="-10"/>
          <w:kern w:val="28"/>
          <w:sz w:val="20"/>
          <w:szCs w:val="56"/>
        </w:rPr>
      </w:pPr>
      <w:r>
        <w:rPr>
          <w:rFonts w:ascii="Calibri Light" w:hAnsi="Calibri Light"/>
          <w:b/>
          <w:spacing w:val="-10"/>
          <w:kern w:val="28"/>
          <w:sz w:val="20"/>
          <w:szCs w:val="56"/>
        </w:rPr>
        <w:t>(</w:t>
      </w:r>
      <w:r>
        <w:rPr>
          <w:b/>
          <w:spacing w:val="-10"/>
          <w:kern w:val="28"/>
          <w:sz w:val="20"/>
          <w:szCs w:val="56"/>
        </w:rPr>
        <w:t xml:space="preserve">Duomenų apie </w:t>
      </w:r>
      <w:r>
        <w:rPr>
          <w:b/>
          <w:sz w:val="20"/>
        </w:rPr>
        <w:t xml:space="preserve">druską, </w:t>
      </w:r>
      <w:r>
        <w:rPr>
          <w:b/>
          <w:bCs/>
          <w:sz w:val="20"/>
        </w:rPr>
        <w:t>maisto papildus (vitaminus)</w:t>
      </w:r>
      <w:r>
        <w:rPr>
          <w:b/>
          <w:sz w:val="20"/>
        </w:rPr>
        <w:t xml:space="preserve"> ir miši</w:t>
      </w:r>
      <w:bookmarkStart w:id="0" w:name="_GoBack"/>
      <w:bookmarkEnd w:id="0"/>
      <w:r>
        <w:rPr>
          <w:b/>
          <w:sz w:val="20"/>
        </w:rPr>
        <w:t xml:space="preserve">nėlius kūdikiams teikimo </w:t>
      </w:r>
      <w:r>
        <w:rPr>
          <w:b/>
          <w:spacing w:val="-10"/>
          <w:kern w:val="28"/>
          <w:sz w:val="20"/>
          <w:szCs w:val="56"/>
        </w:rPr>
        <w:t>pusmečio ataskaitos forma)</w:t>
      </w:r>
    </w:p>
    <w:p w:rsidR="009D13F8" w:rsidRDefault="00E027E4">
      <w:pPr>
        <w:overflowPunct w:val="0"/>
        <w:jc w:val="center"/>
        <w:textAlignment w:val="baseline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</w:t>
      </w:r>
    </w:p>
    <w:p w:rsidR="009D13F8" w:rsidRDefault="00E027E4">
      <w:pPr>
        <w:overflowPunct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(įmonės pavadinimas)</w:t>
      </w:r>
    </w:p>
    <w:p w:rsidR="009D13F8" w:rsidRDefault="00E027E4">
      <w:pPr>
        <w:overflowPunct w:val="0"/>
        <w:ind w:firstLine="2160"/>
        <w:jc w:val="center"/>
        <w:textAlignment w:val="baseline"/>
        <w:rPr>
          <w:sz w:val="20"/>
        </w:rPr>
      </w:pPr>
      <w:r>
        <w:rPr>
          <w:b/>
          <w:spacing w:val="-10"/>
          <w:kern w:val="28"/>
          <w:sz w:val="20"/>
          <w:szCs w:val="56"/>
        </w:rPr>
        <w:t xml:space="preserve">DUOMENŲ APIE </w:t>
      </w:r>
      <w:r>
        <w:rPr>
          <w:b/>
          <w:sz w:val="20"/>
        </w:rPr>
        <w:t xml:space="preserve">DRUSKĄ,  </w:t>
      </w:r>
      <w:r>
        <w:rPr>
          <w:b/>
          <w:bCs/>
          <w:sz w:val="20"/>
        </w:rPr>
        <w:t xml:space="preserve">MAISTO PAPILDUS (VITAMINUS) </w:t>
      </w:r>
      <w:r>
        <w:rPr>
          <w:b/>
          <w:sz w:val="20"/>
        </w:rPr>
        <w:t xml:space="preserve">IR MIŠINĖLIUS KŪDIKIAMS TEIKIMO </w:t>
      </w:r>
      <w:r>
        <w:rPr>
          <w:b/>
          <w:spacing w:val="-10"/>
          <w:kern w:val="28"/>
          <w:sz w:val="20"/>
          <w:szCs w:val="56"/>
        </w:rPr>
        <w:t>PUSMEČIO ATASKAITA</w:t>
      </w:r>
    </w:p>
    <w:p w:rsidR="009D13F8" w:rsidRDefault="00E027E4">
      <w:pPr>
        <w:overflowPunct w:val="0"/>
        <w:jc w:val="center"/>
        <w:textAlignment w:val="baseline"/>
        <w:rPr>
          <w:sz w:val="20"/>
          <w:u w:val="single"/>
        </w:rPr>
      </w:pPr>
      <w:r>
        <w:rPr>
          <w:sz w:val="20"/>
        </w:rPr>
        <w:t>___________________</w:t>
      </w:r>
      <w:r>
        <w:rPr>
          <w:sz w:val="20"/>
        </w:rPr>
        <w:t>_ Nr. _______________</w:t>
      </w:r>
    </w:p>
    <w:p w:rsidR="009D13F8" w:rsidRDefault="00E027E4">
      <w:pPr>
        <w:overflowPunct w:val="0"/>
        <w:ind w:left="661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(data)</w:t>
      </w:r>
    </w:p>
    <w:p w:rsidR="009D13F8" w:rsidRDefault="00E027E4">
      <w:pPr>
        <w:overflowPunct w:val="0"/>
        <w:ind w:firstLine="360"/>
        <w:jc w:val="both"/>
        <w:textAlignment w:val="baseline"/>
        <w:rPr>
          <w:sz w:val="20"/>
        </w:rPr>
      </w:pPr>
      <w:r>
        <w:rPr>
          <w:sz w:val="20"/>
        </w:rPr>
        <w:t>_______ m. _______ pusmečio ataskaita</w:t>
      </w:r>
    </w:p>
    <w:tbl>
      <w:tblPr>
        <w:tblW w:w="14175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4"/>
        <w:gridCol w:w="8"/>
        <w:gridCol w:w="6988"/>
      </w:tblGrid>
      <w:tr w:rsidR="009D13F8">
        <w:trPr>
          <w:cantSplit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tabs>
                <w:tab w:val="center" w:pos="4153"/>
                <w:tab w:val="right" w:pos="8306"/>
              </w:tabs>
              <w:overflowPunct w:val="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Įmonės kodas registre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nil"/>
            </w:tcBorders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988" w:type="dxa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Pateikiama:</w:t>
            </w:r>
            <w:r>
              <w:rPr>
                <w:sz w:val="18"/>
                <w:szCs w:val="18"/>
              </w:rPr>
              <w:t xml:space="preserve"> iki mėn. 20 d. ataskaitiniam pusmečiui pasibaigus.</w:t>
            </w:r>
          </w:p>
          <w:p w:rsidR="009D13F8" w:rsidRDefault="00E027E4">
            <w:pPr>
              <w:overflowPunct w:val="0"/>
              <w:jc w:val="both"/>
              <w:textAlignment w:val="baseline"/>
              <w:rPr>
                <w:sz w:val="20"/>
              </w:rPr>
            </w:pPr>
            <w:r>
              <w:rPr>
                <w:sz w:val="18"/>
                <w:szCs w:val="18"/>
                <w:u w:val="single"/>
              </w:rPr>
              <w:t>Pateikia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eastAsia="lt-LT"/>
              </w:rPr>
              <w:t xml:space="preserve">ūkio subjektai, </w:t>
            </w:r>
            <w:r>
              <w:rPr>
                <w:sz w:val="18"/>
                <w:szCs w:val="18"/>
              </w:rPr>
              <w:t xml:space="preserve">Lietuvos Respublikoje </w:t>
            </w:r>
            <w:r>
              <w:rPr>
                <w:color w:val="000000"/>
                <w:sz w:val="18"/>
                <w:szCs w:val="18"/>
              </w:rPr>
              <w:t xml:space="preserve">užsiimantys </w:t>
            </w:r>
            <w:r>
              <w:rPr>
                <w:sz w:val="18"/>
                <w:szCs w:val="18"/>
              </w:rPr>
              <w:t xml:space="preserve">druskos, maisto papildų (vitaminų) ir mišinėlių kūdikiams </w:t>
            </w:r>
            <w:r>
              <w:rPr>
                <w:color w:val="000000"/>
                <w:sz w:val="18"/>
                <w:szCs w:val="18"/>
              </w:rPr>
              <w:t>gamyba ir (arba) prekyba ir laikantys šių produktų atsargas.</w:t>
            </w:r>
          </w:p>
        </w:tc>
      </w:tr>
      <w:tr w:rsidR="009D13F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45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Adresas</w:t>
            </w: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</w:tcBorders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ind w:left="709" w:hanging="709"/>
              <w:jc w:val="both"/>
              <w:textAlignment w:val="baseline"/>
              <w:rPr>
                <w:sz w:val="20"/>
              </w:rPr>
            </w:pPr>
          </w:p>
        </w:tc>
      </w:tr>
      <w:tr w:rsidR="009D13F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45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</w:tcBorders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ind w:left="709" w:hanging="709"/>
              <w:jc w:val="both"/>
              <w:textAlignment w:val="baseline"/>
              <w:rPr>
                <w:sz w:val="20"/>
              </w:rPr>
            </w:pPr>
          </w:p>
        </w:tc>
      </w:tr>
      <w:tr w:rsidR="009D13F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45" w:type="dxa"/>
            <w:gridSpan w:val="10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solid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jc w:val="center"/>
              <w:textAlignment w:val="baseline"/>
              <w:rPr>
                <w:sz w:val="20"/>
              </w:rPr>
            </w:pPr>
            <w:r>
              <w:rPr>
                <w:spacing w:val="-2"/>
                <w:sz w:val="20"/>
              </w:rPr>
              <w:t>Garantuojamas gautų duomenų konfidencialumas</w:t>
            </w:r>
          </w:p>
        </w:tc>
      </w:tr>
      <w:tr w:rsidR="009D13F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Pagrindinės veiklos kodas (EVRK)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center"/>
              <w:textAlignment w:val="baseline"/>
              <w:rPr>
                <w:sz w:val="20"/>
              </w:rPr>
            </w:pPr>
          </w:p>
        </w:tc>
      </w:tr>
      <w:tr w:rsidR="009D13F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00"/>
        </w:trPr>
        <w:tc>
          <w:tcPr>
            <w:tcW w:w="6945" w:type="dxa"/>
            <w:gridSpan w:val="10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Pagrindinės </w:t>
            </w:r>
            <w:r>
              <w:rPr>
                <w:sz w:val="20"/>
              </w:rPr>
              <w:t>veiklos pavadinimas (EVRK)</w:t>
            </w: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ind w:left="-113" w:right="-113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Ataskaitos teikiamos internetu naudojant IDIS</w:t>
            </w:r>
          </w:p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ind w:left="-113" w:right="-113"/>
              <w:jc w:val="center"/>
              <w:textAlignment w:val="baseline"/>
              <w:rPr>
                <w:spacing w:val="-2"/>
              </w:rPr>
            </w:pPr>
            <w:r>
              <w:rPr>
                <w:sz w:val="20"/>
              </w:rPr>
              <w:t>https://is.vic.lt/pls/vris/ris_start.loginVesti</w:t>
            </w:r>
          </w:p>
        </w:tc>
      </w:tr>
      <w:tr w:rsidR="009D13F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4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ind w:left="-113" w:right="-113"/>
              <w:jc w:val="center"/>
              <w:textAlignment w:val="baseline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Prieš pildydami ataskaitą, perskaitykite paaiškinimus.</w:t>
            </w:r>
          </w:p>
          <w:p w:rsidR="009D13F8" w:rsidRDefault="009D13F8">
            <w:pPr>
              <w:overflowPunct w:val="0"/>
              <w:ind w:left="-113" w:right="-113"/>
              <w:jc w:val="center"/>
              <w:textAlignment w:val="baseline"/>
              <w:rPr>
                <w:spacing w:val="-2"/>
                <w:sz w:val="20"/>
              </w:rPr>
            </w:pPr>
          </w:p>
        </w:tc>
      </w:tr>
    </w:tbl>
    <w:p w:rsidR="009D13F8" w:rsidRDefault="009D13F8">
      <w:pPr>
        <w:overflowPunct w:val="0"/>
        <w:jc w:val="both"/>
        <w:textAlignment w:val="baseline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987"/>
        <w:gridCol w:w="1843"/>
        <w:gridCol w:w="1222"/>
        <w:gridCol w:w="1471"/>
        <w:gridCol w:w="1179"/>
        <w:gridCol w:w="1468"/>
      </w:tblGrid>
      <w:tr w:rsidR="009D13F8">
        <w:trPr>
          <w:trHeight w:val="415"/>
          <w:jc w:val="center"/>
        </w:trPr>
        <w:tc>
          <w:tcPr>
            <w:tcW w:w="478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Gaminiai iš SAM patvirtinto būtiniausių maisto produktų sąrašo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</w:tcBorders>
          </w:tcPr>
          <w:p w:rsidR="009D13F8" w:rsidRDefault="009D13F8">
            <w:pPr>
              <w:overflowPunct w:val="0"/>
              <w:jc w:val="center"/>
              <w:textAlignment w:val="baseline"/>
              <w:rPr>
                <w:sz w:val="18"/>
              </w:rPr>
            </w:pPr>
          </w:p>
          <w:p w:rsidR="009D13F8" w:rsidRDefault="009D13F8">
            <w:pPr>
              <w:overflowPunct w:val="0"/>
              <w:jc w:val="center"/>
              <w:textAlignment w:val="baseline"/>
              <w:rPr>
                <w:sz w:val="18"/>
              </w:rPr>
            </w:pPr>
          </w:p>
          <w:p w:rsidR="009D13F8" w:rsidRDefault="009D13F8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Sandėliavimo vietų adresai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Pagaminta / supakuota, kg</w:t>
            </w:r>
          </w:p>
        </w:tc>
        <w:tc>
          <w:tcPr>
            <w:tcW w:w="3872" w:type="dxa"/>
            <w:gridSpan w:val="3"/>
            <w:shd w:val="clear" w:color="auto" w:fill="auto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Parduota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3F8" w:rsidRDefault="00E027E4">
            <w:pPr>
              <w:overflowPunct w:val="0"/>
              <w:ind w:firstLine="48"/>
              <w:jc w:val="center"/>
              <w:textAlignment w:val="baseline"/>
              <w:rPr>
                <w:strike/>
                <w:sz w:val="18"/>
              </w:rPr>
            </w:pPr>
            <w:r>
              <w:rPr>
                <w:sz w:val="18"/>
              </w:rPr>
              <w:t>Atsargos ataskaitinio periodo pabaigoje, kg</w:t>
            </w:r>
          </w:p>
        </w:tc>
      </w:tr>
      <w:tr w:rsidR="009D13F8">
        <w:trPr>
          <w:trHeight w:val="334"/>
          <w:jc w:val="center"/>
        </w:trPr>
        <w:tc>
          <w:tcPr>
            <w:tcW w:w="4788" w:type="dxa"/>
            <w:vMerge/>
            <w:shd w:val="clear" w:color="auto" w:fill="auto"/>
            <w:vAlign w:val="center"/>
          </w:tcPr>
          <w:p w:rsidR="009D13F8" w:rsidRDefault="009D13F8">
            <w:pPr>
              <w:overflowPunct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987" w:type="dxa"/>
            <w:vMerge/>
          </w:tcPr>
          <w:p w:rsidR="009D13F8" w:rsidRDefault="009D13F8">
            <w:pPr>
              <w:overflowPunct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D13F8" w:rsidRDefault="009D13F8">
            <w:pPr>
              <w:overflowPunct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Vidaus rinkoje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 xml:space="preserve">Eksportuota, kg </w:t>
            </w:r>
          </w:p>
        </w:tc>
        <w:tc>
          <w:tcPr>
            <w:tcW w:w="1468" w:type="dxa"/>
            <w:vMerge/>
            <w:vAlign w:val="center"/>
          </w:tcPr>
          <w:p w:rsidR="009D13F8" w:rsidRDefault="009D13F8">
            <w:pPr>
              <w:overflowPunct w:val="0"/>
              <w:ind w:firstLine="48"/>
              <w:jc w:val="center"/>
              <w:textAlignment w:val="baseline"/>
              <w:rPr>
                <w:sz w:val="18"/>
              </w:rPr>
            </w:pPr>
          </w:p>
        </w:tc>
      </w:tr>
      <w:tr w:rsidR="009D13F8">
        <w:trPr>
          <w:trHeight w:val="1252"/>
          <w:jc w:val="center"/>
        </w:trPr>
        <w:tc>
          <w:tcPr>
            <w:tcW w:w="47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3F8" w:rsidRDefault="00E027E4">
            <w:pPr>
              <w:overflowPunct w:val="0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Kiekis, kg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Vertė, EUR (galiojančiomis kainomis be PVM ir akcizų)</w:t>
            </w:r>
          </w:p>
        </w:tc>
        <w:tc>
          <w:tcPr>
            <w:tcW w:w="11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3F8" w:rsidRDefault="009D13F8">
            <w:pPr>
              <w:overflowPunct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468" w:type="dxa"/>
            <w:vMerge/>
            <w:tcBorders>
              <w:bottom w:val="single" w:sz="12" w:space="0" w:color="auto"/>
            </w:tcBorders>
            <w:vAlign w:val="center"/>
          </w:tcPr>
          <w:p w:rsidR="009D13F8" w:rsidRDefault="009D13F8">
            <w:pPr>
              <w:overflowPunct w:val="0"/>
              <w:jc w:val="center"/>
              <w:textAlignment w:val="baseline"/>
              <w:rPr>
                <w:sz w:val="18"/>
              </w:rPr>
            </w:pPr>
          </w:p>
        </w:tc>
      </w:tr>
      <w:tr w:rsidR="009D13F8">
        <w:trPr>
          <w:trHeight w:val="221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9D13F8" w:rsidRDefault="00E027E4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D13F8">
        <w:trPr>
          <w:trHeight w:val="281"/>
          <w:jc w:val="center"/>
        </w:trPr>
        <w:tc>
          <w:tcPr>
            <w:tcW w:w="4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3F8" w:rsidRDefault="00E027E4">
            <w:pPr>
              <w:overflowPunct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Druska</w:t>
            </w:r>
            <w:r>
              <w:rPr>
                <w:sz w:val="20"/>
                <w:vertAlign w:val="superscript"/>
              </w:rPr>
              <w:t>1, 2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12" w:space="0" w:color="auto"/>
            </w:tcBorders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9D13F8">
        <w:trPr>
          <w:trHeight w:val="296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9D13F8" w:rsidRDefault="00E027E4">
            <w:pPr>
              <w:overflowPunct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Maisto </w:t>
            </w:r>
            <w:r>
              <w:rPr>
                <w:sz w:val="20"/>
              </w:rPr>
              <w:t>papildai (vitaminai)</w:t>
            </w:r>
            <w:r>
              <w:rPr>
                <w:sz w:val="20"/>
                <w:vertAlign w:val="superscript"/>
              </w:rPr>
              <w:t>1, 3</w:t>
            </w:r>
          </w:p>
        </w:tc>
        <w:tc>
          <w:tcPr>
            <w:tcW w:w="1987" w:type="dxa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9D13F8">
        <w:trPr>
          <w:trHeight w:val="378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9D13F8" w:rsidRDefault="00E027E4">
            <w:pPr>
              <w:overflowPunct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Mišinėliai kūdikiams</w:t>
            </w:r>
            <w:r>
              <w:rPr>
                <w:sz w:val="20"/>
                <w:vertAlign w:val="superscript"/>
              </w:rPr>
              <w:t>1, 4</w:t>
            </w:r>
          </w:p>
        </w:tc>
        <w:tc>
          <w:tcPr>
            <w:tcW w:w="1987" w:type="dxa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9D13F8" w:rsidRDefault="009D13F8">
      <w:pPr>
        <w:overflowPunct w:val="0"/>
        <w:ind w:left="720"/>
        <w:jc w:val="both"/>
        <w:textAlignment w:val="baseline"/>
        <w:rPr>
          <w:sz w:val="20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134"/>
        <w:gridCol w:w="992"/>
        <w:gridCol w:w="5245"/>
      </w:tblGrid>
      <w:tr w:rsidR="009D13F8">
        <w:tc>
          <w:tcPr>
            <w:tcW w:w="6662" w:type="dxa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ind w:right="-85"/>
              <w:jc w:val="both"/>
              <w:textAlignment w:val="baseline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Prašome nurodyti, kiek laiko skyrėte statistiniams duomenims rengti ir ataskaitai pildyti</w:t>
            </w:r>
          </w:p>
        </w:tc>
        <w:tc>
          <w:tcPr>
            <w:tcW w:w="1134" w:type="dxa"/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ind w:firstLine="53"/>
              <w:jc w:val="right"/>
              <w:textAlignment w:val="baseline"/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ind w:firstLine="53"/>
              <w:jc w:val="right"/>
              <w:textAlignment w:val="baseline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3F8" w:rsidRDefault="009D13F8">
            <w:pPr>
              <w:rPr>
                <w:sz w:val="6"/>
                <w:szCs w:val="6"/>
              </w:rPr>
            </w:pPr>
          </w:p>
          <w:p w:rsidR="009D13F8" w:rsidRDefault="00E027E4">
            <w:pPr>
              <w:overflowPunct w:val="0"/>
              <w:ind w:right="-85"/>
              <w:jc w:val="both"/>
              <w:textAlignment w:val="baseline"/>
              <w:rPr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Informacija pateikiama vieną kartą per metus kartu su II pusmečio ataskaita</w:t>
            </w:r>
          </w:p>
        </w:tc>
      </w:tr>
    </w:tbl>
    <w:p w:rsidR="009D13F8" w:rsidRDefault="00E027E4">
      <w:pPr>
        <w:overflowPunct w:val="0"/>
        <w:ind w:left="284"/>
        <w:jc w:val="both"/>
        <w:textAlignment w:val="baseline"/>
        <w:rPr>
          <w:sz w:val="20"/>
        </w:rPr>
      </w:pPr>
      <w:r>
        <w:rPr>
          <w:spacing w:val="-2"/>
          <w:sz w:val="20"/>
        </w:rPr>
        <w:t>(Ataskaitą</w:t>
      </w:r>
      <w:r>
        <w:rPr>
          <w:spacing w:val="-2"/>
          <w:sz w:val="20"/>
        </w:rPr>
        <w:t xml:space="preserve"> užpildžiusio asmens vardas, pavardė, pareigos, telefonas, faksas, el. paštas. Pildoma teikiant ataskaitą el. paštu</w:t>
      </w:r>
      <w:r>
        <w:rPr>
          <w:sz w:val="20"/>
        </w:rPr>
        <w:t>)</w:t>
      </w:r>
    </w:p>
    <w:p w:rsidR="009D13F8" w:rsidRDefault="00E027E4">
      <w:pPr>
        <w:overflowPunct w:val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Pasiteirauti galima tel. Nr. (8 37) 397 075; el. p. </w:t>
      </w:r>
      <w:proofErr w:type="spellStart"/>
      <w:r>
        <w:rPr>
          <w:sz w:val="20"/>
        </w:rPr>
        <w:t>pašarai@vic.lt</w:t>
      </w:r>
      <w:proofErr w:type="spellEnd"/>
      <w:r>
        <w:rPr>
          <w:sz w:val="20"/>
        </w:rPr>
        <w:t xml:space="preserve">. </w:t>
      </w:r>
    </w:p>
    <w:p w:rsidR="009D13F8" w:rsidRDefault="009D13F8">
      <w:pPr>
        <w:overflowPunct w:val="0"/>
        <w:ind w:left="284"/>
        <w:jc w:val="both"/>
        <w:textAlignment w:val="baseline"/>
        <w:rPr>
          <w:sz w:val="20"/>
        </w:rPr>
      </w:pPr>
    </w:p>
    <w:p w:rsidR="009D13F8" w:rsidRDefault="00E027E4">
      <w:pPr>
        <w:overflowPunct w:val="0"/>
        <w:ind w:left="284"/>
        <w:jc w:val="both"/>
        <w:textAlignment w:val="baseline"/>
        <w:rPr>
          <w:b/>
          <w:bCs/>
          <w:caps/>
          <w:sz w:val="20"/>
        </w:rPr>
      </w:pPr>
      <w:r>
        <w:rPr>
          <w:b/>
          <w:bCs/>
          <w:sz w:val="18"/>
          <w:szCs w:val="18"/>
        </w:rPr>
        <w:t>DUOMENYS</w:t>
      </w:r>
      <w:r>
        <w:rPr>
          <w:sz w:val="18"/>
          <w:szCs w:val="18"/>
        </w:rPr>
        <w:t xml:space="preserve"> </w:t>
      </w:r>
      <w:r>
        <w:rPr>
          <w:b/>
          <w:bCs/>
          <w:smallCaps/>
          <w:sz w:val="20"/>
        </w:rPr>
        <w:t xml:space="preserve">APIE </w:t>
      </w:r>
      <w:r>
        <w:rPr>
          <w:b/>
          <w:bCs/>
          <w:sz w:val="20"/>
        </w:rPr>
        <w:t xml:space="preserve">DRUSKOS, </w:t>
      </w:r>
      <w:r>
        <w:rPr>
          <w:b/>
          <w:bCs/>
          <w:sz w:val="18"/>
          <w:szCs w:val="18"/>
        </w:rPr>
        <w:t>MAISTO PAPILDŲ (VITAMINŲ)</w:t>
      </w:r>
      <w:r>
        <w:rPr>
          <w:b/>
          <w:bCs/>
          <w:sz w:val="20"/>
        </w:rPr>
        <w:t xml:space="preserve"> IR MIŠINĖLIŲ KŪDIKIA</w:t>
      </w:r>
      <w:r>
        <w:rPr>
          <w:b/>
          <w:bCs/>
          <w:sz w:val="20"/>
        </w:rPr>
        <w:t xml:space="preserve">MS </w:t>
      </w:r>
      <w:r>
        <w:rPr>
          <w:b/>
          <w:bCs/>
          <w:color w:val="000000"/>
          <w:sz w:val="20"/>
        </w:rPr>
        <w:t xml:space="preserve">GAMYBOS IR (ARBA) PREKYBOS IR ŠIŲ PRODUKTŲ ATSARGŲ STATISTINĮ </w:t>
      </w:r>
      <w:r>
        <w:rPr>
          <w:b/>
          <w:bCs/>
          <w:sz w:val="20"/>
        </w:rPr>
        <w:t xml:space="preserve">TYRIMĄ </w:t>
      </w:r>
    </w:p>
    <w:p w:rsidR="009D13F8" w:rsidRDefault="009D13F8">
      <w:pPr>
        <w:jc w:val="center"/>
        <w:rPr>
          <w:sz w:val="18"/>
          <w:szCs w:val="18"/>
        </w:rPr>
      </w:pPr>
    </w:p>
    <w:p w:rsidR="009D13F8" w:rsidRDefault="009D13F8">
      <w:pPr>
        <w:overflowPunct w:val="0"/>
        <w:jc w:val="center"/>
        <w:textAlignment w:val="baseline"/>
        <w:rPr>
          <w:sz w:val="20"/>
        </w:rPr>
      </w:pPr>
    </w:p>
    <w:p w:rsidR="009D13F8" w:rsidRDefault="009D13F8">
      <w:pPr>
        <w:overflowPunct w:val="0"/>
        <w:jc w:val="both"/>
        <w:textAlignment w:val="baseline"/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1883"/>
      </w:tblGrid>
      <w:tr w:rsidR="009D13F8">
        <w:tc>
          <w:tcPr>
            <w:tcW w:w="3078" w:type="dxa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TEISINIS PAGRINDIMAS</w:t>
            </w:r>
          </w:p>
        </w:tc>
        <w:tc>
          <w:tcPr>
            <w:tcW w:w="11883" w:type="dxa"/>
          </w:tcPr>
          <w:p w:rsidR="009D13F8" w:rsidRDefault="00E027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Lietuvos Respublikos žemės ūkio ministro 2017 m. gruodžio 19 d. įsakymas Nr. 3D-816 „Dėl Duomenų ir informacijos apie būtiniausius maisto produktus teikimo </w:t>
            </w:r>
            <w:r>
              <w:rPr>
                <w:sz w:val="18"/>
                <w:szCs w:val="18"/>
              </w:rPr>
              <w:t>nepaprastosios padėties, mobilizacijos ar karo padėties poreikiams taisyklių patvirtinimo“</w:t>
            </w:r>
          </w:p>
          <w:p w:rsidR="009D13F8" w:rsidRDefault="009D13F8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9D13F8">
        <w:tc>
          <w:tcPr>
            <w:tcW w:w="3078" w:type="dxa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TYRIMO RŪŠIS, APIMTIS IR TIKSLAS</w:t>
            </w:r>
          </w:p>
        </w:tc>
        <w:tc>
          <w:tcPr>
            <w:tcW w:w="11883" w:type="dxa"/>
          </w:tcPr>
          <w:p w:rsidR="009D13F8" w:rsidRDefault="00E027E4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 – pusmečio tyrimas.</w:t>
            </w:r>
          </w:p>
          <w:p w:rsidR="009D13F8" w:rsidRDefault="00E027E4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Ataskaitą pildo druskos, maisto papildų (vitaminų) ir mišinėlių kūdikiams gamybos ir (arba) prekybos įmonė</w:t>
            </w:r>
            <w:r>
              <w:rPr>
                <w:sz w:val="18"/>
                <w:szCs w:val="18"/>
              </w:rPr>
              <w:t xml:space="preserve">s. </w:t>
            </w:r>
          </w:p>
          <w:p w:rsidR="009D13F8" w:rsidRDefault="00E027E4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Tiriamasis laikotarpis – pusmetis.</w:t>
            </w:r>
          </w:p>
          <w:p w:rsidR="009D13F8" w:rsidRDefault="00E027E4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Tyrimo tikslas nustatyti druskos, maisto papildų (vitaminų) ir mišinėlių kūdikiams</w:t>
            </w:r>
            <w:r>
              <w:rPr>
                <w:color w:val="000000"/>
                <w:sz w:val="18"/>
                <w:szCs w:val="18"/>
              </w:rPr>
              <w:t xml:space="preserve"> gamybos ir (arba) prekybos ir atsargų kiekius ir vertes. Duomenys ir informacija naudojama nepaprastosios padėties, mobilizacijos ar k</w:t>
            </w:r>
            <w:r>
              <w:rPr>
                <w:color w:val="000000"/>
                <w:sz w:val="18"/>
                <w:szCs w:val="18"/>
              </w:rPr>
              <w:t>aro poreikiams.</w:t>
            </w:r>
          </w:p>
        </w:tc>
      </w:tr>
      <w:tr w:rsidR="009D13F8">
        <w:tc>
          <w:tcPr>
            <w:tcW w:w="3078" w:type="dxa"/>
            <w:vAlign w:val="center"/>
          </w:tcPr>
          <w:p w:rsidR="009D13F8" w:rsidRDefault="00E027E4">
            <w:pPr>
              <w:overflowPunct w:val="0"/>
              <w:jc w:val="center"/>
              <w:textAlignment w:val="baseline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INFORMACIJOS TEIKIMAS</w:t>
            </w:r>
          </w:p>
        </w:tc>
        <w:tc>
          <w:tcPr>
            <w:tcW w:w="11883" w:type="dxa"/>
          </w:tcPr>
          <w:p w:rsidR="009D13F8" w:rsidRDefault="00E027E4">
            <w:pPr>
              <w:tabs>
                <w:tab w:val="right" w:pos="9808"/>
              </w:tabs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Pasibaigus pusmečiui iki einamojo mėnesio paskutinės darbo dienos duomenys parengiami ir pateikiami Duomenų ir informacijos apie būtiniausius maisto produktus teikimo nepaprastosios padėties, mobilizacijos ar karo </w:t>
            </w:r>
            <w:r>
              <w:rPr>
                <w:sz w:val="18"/>
                <w:szCs w:val="18"/>
              </w:rPr>
              <w:t>padėties poreikiams taisyklių, patvirtintų Lietuvos Respublikos žemės ūkio ministro 2017 m. gruodžio 19 d. įsakymu Nr. 3D-816 „Dėl Duomenų ir informacijos apie būtiniausius maisto produktus teikimo nepaprastosios padėties, mobilizacijos ar karo padėties po</w:t>
            </w:r>
            <w:r>
              <w:rPr>
                <w:sz w:val="18"/>
                <w:szCs w:val="18"/>
              </w:rPr>
              <w:t>reikiams taisyklių patvirtinimo“, nustatyta tvarka ir terminais.</w:t>
            </w:r>
          </w:p>
        </w:tc>
      </w:tr>
    </w:tbl>
    <w:p w:rsidR="009D13F8" w:rsidRDefault="00E027E4">
      <w:pPr>
        <w:overflowPunct w:val="0"/>
        <w:ind w:firstLine="360"/>
        <w:jc w:val="both"/>
        <w:textAlignment w:val="baseline"/>
        <w:rPr>
          <w:sz w:val="16"/>
          <w:szCs w:val="16"/>
        </w:rPr>
      </w:pPr>
    </w:p>
    <w:p w:rsidR="009D13F8" w:rsidRDefault="00E027E4">
      <w:pPr>
        <w:overflowPunct w:val="0"/>
        <w:ind w:left="284" w:right="107"/>
        <w:jc w:val="both"/>
        <w:textAlignment w:val="baseline"/>
        <w:rPr>
          <w:b/>
          <w:bCs/>
          <w:sz w:val="20"/>
        </w:rPr>
      </w:pPr>
      <w:r>
        <w:rPr>
          <w:b/>
          <w:bCs/>
          <w:sz w:val="20"/>
        </w:rPr>
        <w:t xml:space="preserve">Pastabos ir paaiškinimai: </w:t>
      </w:r>
    </w:p>
    <w:p w:rsidR="009D13F8" w:rsidRDefault="00E027E4">
      <w:pPr>
        <w:tabs>
          <w:tab w:val="left" w:pos="567"/>
        </w:tabs>
        <w:overflowPunct w:val="0"/>
        <w:ind w:left="644" w:right="-35" w:hanging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20"/>
          <w:vertAlign w:val="superscript"/>
        </w:rPr>
        <w:t>1</w:t>
      </w:r>
      <w:r>
        <w:rPr>
          <w:sz w:val="20"/>
        </w:rPr>
        <w:t>-</w:t>
      </w:r>
      <w:r>
        <w:rPr>
          <w:sz w:val="18"/>
          <w:szCs w:val="18"/>
        </w:rPr>
        <w:t xml:space="preserve"> įvairios talpos pakuotėse.</w:t>
      </w:r>
    </w:p>
    <w:p w:rsidR="009D13F8" w:rsidRDefault="00E027E4">
      <w:pPr>
        <w:tabs>
          <w:tab w:val="left" w:pos="567"/>
        </w:tabs>
        <w:overflowPunct w:val="0"/>
        <w:ind w:left="644" w:right="-35" w:hanging="36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ab/>
      </w:r>
      <w:r>
        <w:rPr>
          <w:sz w:val="20"/>
          <w:vertAlign w:val="superscript"/>
        </w:rPr>
        <w:t>2</w:t>
      </w:r>
      <w:r>
        <w:rPr>
          <w:sz w:val="20"/>
        </w:rPr>
        <w:t>-</w:t>
      </w:r>
      <w:r>
        <w:rPr>
          <w:sz w:val="18"/>
          <w:szCs w:val="18"/>
        </w:rPr>
        <w:tab/>
        <w:t xml:space="preserve">druska, tinkama vartoti žmonėms (CN 2501 00 91 / PRODCOM </w:t>
      </w:r>
      <w:r>
        <w:rPr>
          <w:color w:val="000000"/>
          <w:sz w:val="18"/>
          <w:szCs w:val="18"/>
        </w:rPr>
        <w:t>10.84.30.00.00).</w:t>
      </w:r>
    </w:p>
    <w:p w:rsidR="009D13F8" w:rsidRDefault="00E027E4">
      <w:pPr>
        <w:tabs>
          <w:tab w:val="left" w:pos="567"/>
        </w:tabs>
        <w:overflowPunct w:val="0"/>
        <w:ind w:left="644" w:right="-35" w:hanging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color w:val="000000"/>
          <w:sz w:val="20"/>
          <w:vertAlign w:val="superscript"/>
        </w:rPr>
        <w:t>3</w:t>
      </w:r>
      <w:r>
        <w:rPr>
          <w:color w:val="000000"/>
          <w:sz w:val="20"/>
        </w:rPr>
        <w:t>-</w:t>
      </w:r>
      <w:r>
        <w:rPr>
          <w:color w:val="000000"/>
          <w:sz w:val="18"/>
          <w:szCs w:val="18"/>
        </w:rPr>
        <w:t xml:space="preserve"> provitaminai ir vitaminai, natūralūs arba gauti sintezės būdu (įskaitant natūralius koncentratus), jų dariniai, daugiausia vartojami kaip vitaminai, taip pat šių junginių mišiniai, ištirpinti arba ne bet kuriame tirpiklyje </w:t>
      </w:r>
      <w:r>
        <w:rPr>
          <w:sz w:val="18"/>
          <w:szCs w:val="18"/>
        </w:rPr>
        <w:t xml:space="preserve">(CN 2936/  PRODCOM </w:t>
      </w:r>
      <w:r>
        <w:rPr>
          <w:color w:val="000000"/>
          <w:sz w:val="18"/>
          <w:szCs w:val="18"/>
        </w:rPr>
        <w:t>21.10.51.00.0</w:t>
      </w:r>
      <w:r>
        <w:rPr>
          <w:color w:val="000000"/>
          <w:sz w:val="18"/>
          <w:szCs w:val="18"/>
        </w:rPr>
        <w:t>0</w:t>
      </w:r>
    </w:p>
    <w:p w:rsidR="009D13F8" w:rsidRDefault="00E027E4">
      <w:pPr>
        <w:tabs>
          <w:tab w:val="left" w:pos="567"/>
        </w:tabs>
        <w:overflowPunct w:val="0"/>
        <w:ind w:left="644" w:right="-35" w:hanging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color w:val="000000"/>
          <w:sz w:val="18"/>
          <w:szCs w:val="18"/>
          <w:vertAlign w:val="superscript"/>
        </w:rPr>
        <w:t>4</w:t>
      </w:r>
      <w:r>
        <w:rPr>
          <w:color w:val="000000"/>
          <w:sz w:val="20"/>
        </w:rPr>
        <w:t>-</w:t>
      </w:r>
      <w:r>
        <w:rPr>
          <w:sz w:val="18"/>
          <w:szCs w:val="18"/>
        </w:rPr>
        <w:t xml:space="preserve"> specialus pienas, skirtas kūdikiams, sandariai uždarytose pakuotėse, kurių </w:t>
      </w:r>
      <w:proofErr w:type="spellStart"/>
      <w:r>
        <w:rPr>
          <w:sz w:val="18"/>
          <w:szCs w:val="18"/>
        </w:rPr>
        <w:t>neto</w:t>
      </w:r>
      <w:proofErr w:type="spellEnd"/>
      <w:r>
        <w:rPr>
          <w:sz w:val="18"/>
          <w:szCs w:val="18"/>
        </w:rPr>
        <w:t xml:space="preserve"> masė ne didesnė kaip 500 g, riebumas didesnis kaip 10 % masės (CN 0402 29 11); Kūdikiams arba mažiems vaikams vartoti tinkami maisto produktai, supakuoti į mažmenin</w:t>
      </w:r>
      <w:r>
        <w:rPr>
          <w:sz w:val="18"/>
          <w:szCs w:val="18"/>
        </w:rPr>
        <w:t xml:space="preserve">ei prekybai skirtas pakuotes (CN 1901 10 00 / PRODCOM 10.86.10.70.00); </w:t>
      </w:r>
      <w:proofErr w:type="spellStart"/>
      <w:r>
        <w:rPr>
          <w:sz w:val="18"/>
          <w:szCs w:val="18"/>
        </w:rPr>
        <w:t>Homogenizuoti</w:t>
      </w:r>
      <w:proofErr w:type="spellEnd"/>
      <w:r>
        <w:rPr>
          <w:sz w:val="18"/>
          <w:szCs w:val="18"/>
        </w:rPr>
        <w:t xml:space="preserve"> produktai iš mėsos, mėsos subproduktų, kraujo arba vabzdžių, kruopščiai </w:t>
      </w:r>
      <w:proofErr w:type="spellStart"/>
      <w:r>
        <w:rPr>
          <w:sz w:val="18"/>
          <w:szCs w:val="18"/>
        </w:rPr>
        <w:t>homogenizuotus</w:t>
      </w:r>
      <w:proofErr w:type="spellEnd"/>
      <w:r>
        <w:rPr>
          <w:sz w:val="18"/>
          <w:szCs w:val="18"/>
        </w:rPr>
        <w:t xml:space="preserve">, supakuotus į mažmeninei prekybai skirtas pakuotes, kurių </w:t>
      </w:r>
      <w:proofErr w:type="spellStart"/>
      <w:r>
        <w:rPr>
          <w:sz w:val="18"/>
          <w:szCs w:val="18"/>
        </w:rPr>
        <w:t>neto</w:t>
      </w:r>
      <w:proofErr w:type="spellEnd"/>
      <w:r>
        <w:rPr>
          <w:sz w:val="18"/>
          <w:szCs w:val="18"/>
        </w:rPr>
        <w:t xml:space="preserve"> masė ne didesnė kaip </w:t>
      </w:r>
      <w:r>
        <w:rPr>
          <w:sz w:val="18"/>
          <w:szCs w:val="18"/>
        </w:rPr>
        <w:t xml:space="preserve">250 g, ir pateikiamus kaip kūdikiams arba mažiems vaikams vartoti tinkamus arba dietinius maisto produktus (CN 1602 10 00); Kruopščiai </w:t>
      </w:r>
      <w:proofErr w:type="spellStart"/>
      <w:r>
        <w:rPr>
          <w:sz w:val="18"/>
          <w:szCs w:val="18"/>
        </w:rPr>
        <w:t>homogenizuoti</w:t>
      </w:r>
      <w:proofErr w:type="spellEnd"/>
      <w:r>
        <w:rPr>
          <w:sz w:val="18"/>
          <w:szCs w:val="18"/>
        </w:rPr>
        <w:t xml:space="preserve"> daržovių produktai, supakuoti į mažmeninei prekybai skirtas pakuotes, kurių </w:t>
      </w:r>
      <w:proofErr w:type="spellStart"/>
      <w:r>
        <w:rPr>
          <w:sz w:val="18"/>
          <w:szCs w:val="18"/>
        </w:rPr>
        <w:t>neto</w:t>
      </w:r>
      <w:proofErr w:type="spellEnd"/>
      <w:r>
        <w:rPr>
          <w:sz w:val="18"/>
          <w:szCs w:val="18"/>
        </w:rPr>
        <w:t xml:space="preserve"> masė ne didesnė kaip 250 g</w:t>
      </w:r>
      <w:r>
        <w:rPr>
          <w:sz w:val="18"/>
          <w:szCs w:val="18"/>
        </w:rPr>
        <w:t xml:space="preserve">, ir pateikiamus kaip kūdikiams arba mažiems vaikams vartoti tinkamus arba dietinius maisto produktus (CN 2005 10 00); Kruopščiai </w:t>
      </w:r>
      <w:proofErr w:type="spellStart"/>
      <w:r>
        <w:rPr>
          <w:sz w:val="18"/>
          <w:szCs w:val="18"/>
        </w:rPr>
        <w:t>homogenizuoti</w:t>
      </w:r>
      <w:proofErr w:type="spellEnd"/>
      <w:r>
        <w:rPr>
          <w:sz w:val="18"/>
          <w:szCs w:val="18"/>
        </w:rPr>
        <w:t xml:space="preserve"> vaisių produktai, supakuoti į mažmeninei prekybai skirtas pakuotes, kurių </w:t>
      </w:r>
      <w:proofErr w:type="spellStart"/>
      <w:r>
        <w:rPr>
          <w:sz w:val="18"/>
          <w:szCs w:val="18"/>
        </w:rPr>
        <w:t>neto</w:t>
      </w:r>
      <w:proofErr w:type="spellEnd"/>
      <w:r>
        <w:rPr>
          <w:sz w:val="18"/>
          <w:szCs w:val="18"/>
        </w:rPr>
        <w:t xml:space="preserve"> masė ne didesnė kaip 250 g, ir pa</w:t>
      </w:r>
      <w:r>
        <w:rPr>
          <w:sz w:val="18"/>
          <w:szCs w:val="18"/>
        </w:rPr>
        <w:t xml:space="preserve">teikiamus kaip kūdikiams arba mažiems vaikams vartoti tinkamus arba dietinius maisto produktus (CN 2007 10); </w:t>
      </w:r>
      <w:proofErr w:type="spellStart"/>
      <w:r>
        <w:rPr>
          <w:sz w:val="18"/>
          <w:szCs w:val="18"/>
        </w:rPr>
        <w:t>Homogenizuoti</w:t>
      </w:r>
      <w:proofErr w:type="spellEnd"/>
      <w:r>
        <w:rPr>
          <w:sz w:val="18"/>
          <w:szCs w:val="18"/>
        </w:rPr>
        <w:t xml:space="preserve"> sudėtiniai maisto produktai, sudaryti iš kruopščiai </w:t>
      </w:r>
      <w:proofErr w:type="spellStart"/>
      <w:r>
        <w:rPr>
          <w:sz w:val="18"/>
          <w:szCs w:val="18"/>
        </w:rPr>
        <w:t>homogenizuotų</w:t>
      </w:r>
      <w:proofErr w:type="spellEnd"/>
      <w:r>
        <w:rPr>
          <w:sz w:val="18"/>
          <w:szCs w:val="18"/>
        </w:rPr>
        <w:t xml:space="preserve"> ne mažiau kaip dviejų pagrindinių sudėtinių dalių, pavyzdžiui, mėso</w:t>
      </w:r>
      <w:r>
        <w:rPr>
          <w:sz w:val="18"/>
          <w:szCs w:val="18"/>
        </w:rPr>
        <w:t xml:space="preserve">s, žuvies, daržovių, vaisių arba riešutų mišinio, supakuotus į mažmeninei prekybai skirtas pakuotes, kurių </w:t>
      </w:r>
      <w:proofErr w:type="spellStart"/>
      <w:r>
        <w:rPr>
          <w:sz w:val="18"/>
          <w:szCs w:val="18"/>
        </w:rPr>
        <w:t>neto</w:t>
      </w:r>
      <w:proofErr w:type="spellEnd"/>
      <w:r>
        <w:rPr>
          <w:sz w:val="18"/>
          <w:szCs w:val="18"/>
        </w:rPr>
        <w:t xml:space="preserve"> masė ne didesnė kaip 250 g, ir pateikiamus kaip kūdikiams arba mažiems vaikams vartoti tinkamus arba dietinius maisto produktus (CN 2104 20 / PR</w:t>
      </w:r>
      <w:r>
        <w:rPr>
          <w:sz w:val="18"/>
          <w:szCs w:val="18"/>
        </w:rPr>
        <w:t>ODCOM 10.86.10.60.00).</w:t>
      </w:r>
    </w:p>
    <w:p w:rsidR="009D13F8" w:rsidRDefault="00E027E4">
      <w:pPr>
        <w:tabs>
          <w:tab w:val="left" w:pos="284"/>
          <w:tab w:val="left" w:pos="567"/>
        </w:tabs>
        <w:overflowPunct w:val="0"/>
        <w:ind w:left="644" w:right="-35" w:hanging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Ataskaita </w:t>
      </w:r>
      <w:r>
        <w:rPr>
          <w:iCs/>
          <w:sz w:val="18"/>
          <w:szCs w:val="18"/>
        </w:rPr>
        <w:t xml:space="preserve">teikiama VĮ Žemės ūkio informacijos ir kaimo verslo centrui naudojantis IDIS adresu </w:t>
      </w:r>
      <w:r>
        <w:rPr>
          <w:color w:val="0000FF"/>
          <w:sz w:val="18"/>
          <w:szCs w:val="18"/>
          <w:u w:val="single"/>
        </w:rPr>
        <w:t>https://is.vic.lt/pls/vris/ris_start.loginVesti</w:t>
      </w:r>
      <w:r>
        <w:rPr>
          <w:sz w:val="18"/>
          <w:szCs w:val="18"/>
        </w:rPr>
        <w:t>.</w:t>
      </w:r>
    </w:p>
    <w:p w:rsidR="009D13F8" w:rsidRDefault="00E027E4">
      <w:pPr>
        <w:tabs>
          <w:tab w:val="left" w:pos="284"/>
          <w:tab w:val="left" w:pos="567"/>
        </w:tabs>
        <w:overflowPunct w:val="0"/>
        <w:ind w:left="644" w:right="-35" w:hanging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Nesant techninių galimybių naudoti IDIS, duomenys teikiami el. p. </w:t>
      </w:r>
      <w:proofErr w:type="spellStart"/>
      <w:r>
        <w:rPr>
          <w:sz w:val="18"/>
          <w:szCs w:val="18"/>
        </w:rPr>
        <w:t>pasarai</w:t>
      </w:r>
      <w:r>
        <w:rPr>
          <w:color w:val="0000FF"/>
          <w:sz w:val="18"/>
          <w:szCs w:val="18"/>
          <w:u w:val="single"/>
        </w:rPr>
        <w:t>@vic.lt</w:t>
      </w:r>
      <w:proofErr w:type="spellEnd"/>
      <w:r>
        <w:rPr>
          <w:sz w:val="18"/>
          <w:szCs w:val="18"/>
        </w:rPr>
        <w:t>.</w:t>
      </w:r>
    </w:p>
    <w:p w:rsidR="009D13F8" w:rsidRDefault="009D13F8">
      <w:pPr>
        <w:tabs>
          <w:tab w:val="left" w:pos="284"/>
          <w:tab w:val="left" w:pos="540"/>
        </w:tabs>
        <w:overflowPunct w:val="0"/>
        <w:ind w:left="284"/>
        <w:jc w:val="both"/>
        <w:textAlignment w:val="baseline"/>
        <w:rPr>
          <w:iCs/>
          <w:sz w:val="18"/>
          <w:szCs w:val="18"/>
        </w:rPr>
      </w:pPr>
    </w:p>
    <w:p w:rsidR="009D13F8" w:rsidRDefault="009D13F8">
      <w:pPr>
        <w:tabs>
          <w:tab w:val="num" w:pos="540"/>
        </w:tabs>
        <w:ind w:firstLine="180"/>
        <w:rPr>
          <w:iCs/>
          <w:sz w:val="18"/>
          <w:szCs w:val="18"/>
        </w:rPr>
      </w:pPr>
    </w:p>
    <w:p w:rsidR="009D13F8" w:rsidRDefault="00E027E4">
      <w:pPr>
        <w:overflowPunct w:val="0"/>
        <w:jc w:val="center"/>
        <w:textAlignment w:val="baseline"/>
      </w:pPr>
      <w:r>
        <w:rPr>
          <w:sz w:val="18"/>
          <w:szCs w:val="18"/>
        </w:rPr>
        <w:t>____________________________________________</w:t>
      </w:r>
    </w:p>
    <w:p w:rsidR="009D13F8" w:rsidRDefault="009D13F8" w:rsidP="00E027E4">
      <w:pPr>
        <w:ind w:right="11"/>
        <w:jc w:val="both"/>
        <w:rPr>
          <w:sz w:val="22"/>
          <w:szCs w:val="22"/>
        </w:rPr>
      </w:pPr>
    </w:p>
    <w:p w:rsidR="009D13F8" w:rsidRDefault="00E027E4"/>
    <w:sectPr w:rsidR="009D13F8" w:rsidSect="00E02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567" w:bottom="851" w:left="851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E4" w:rsidRDefault="00E027E4" w:rsidP="00E027E4">
      <w:r>
        <w:separator/>
      </w:r>
    </w:p>
  </w:endnote>
  <w:endnote w:type="continuationSeparator" w:id="0">
    <w:p w:rsidR="00E027E4" w:rsidRDefault="00E027E4" w:rsidP="00E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E4" w:rsidRDefault="00E027E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E4" w:rsidRDefault="00E027E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E4" w:rsidRDefault="00E027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E4" w:rsidRDefault="00E027E4" w:rsidP="00E027E4">
      <w:r>
        <w:separator/>
      </w:r>
    </w:p>
  </w:footnote>
  <w:footnote w:type="continuationSeparator" w:id="0">
    <w:p w:rsidR="00E027E4" w:rsidRDefault="00E027E4" w:rsidP="00E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E4" w:rsidRDefault="00E027E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0029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27E4" w:rsidRPr="00E027E4" w:rsidRDefault="00E027E4" w:rsidP="00E027E4">
        <w:pPr>
          <w:pStyle w:val="Antrats"/>
          <w:jc w:val="center"/>
          <w:rPr>
            <w:sz w:val="22"/>
            <w:szCs w:val="22"/>
          </w:rPr>
        </w:pPr>
        <w:r w:rsidRPr="00E027E4">
          <w:rPr>
            <w:sz w:val="22"/>
            <w:szCs w:val="22"/>
          </w:rPr>
          <w:fldChar w:fldCharType="begin"/>
        </w:r>
        <w:r w:rsidRPr="00E027E4">
          <w:rPr>
            <w:sz w:val="22"/>
            <w:szCs w:val="22"/>
          </w:rPr>
          <w:instrText>PAGE   \* MERGEFORMAT</w:instrText>
        </w:r>
        <w:r w:rsidRPr="00E027E4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E027E4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E4" w:rsidRDefault="00E027E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B"/>
    <w:rsid w:val="00381D0B"/>
    <w:rsid w:val="009D13F8"/>
    <w:rsid w:val="00E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C42"/>
  <w15:docId w15:val="{EC58B50D-E152-48A9-AAC3-CE3A9688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27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27E4"/>
  </w:style>
  <w:style w:type="paragraph" w:styleId="Porat">
    <w:name w:val="footer"/>
    <w:basedOn w:val="prastasis"/>
    <w:link w:val="PoratDiagrama"/>
    <w:unhideWhenUsed/>
    <w:rsid w:val="00E027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3565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2022-10-13T05:36:00Z</dcterms:created>
  <dc:creator>daivar</dc:creator>
  <lastModifiedBy>JŪRĖNIENĖ Jolanta</lastModifiedBy>
  <lastPrinted>2022-09-30T07:55:00Z</lastPrinted>
  <dcterms:modified xsi:type="dcterms:W3CDTF">2022-10-24T14:31:00Z</dcterms:modified>
  <revision>3</revision>
</coreProperties>
</file>