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2018-10-11 iki 2022-04-30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2017-05-15, i. k. 2017-08150</w:t>
      </w:r>
    </w:p>
    <w:p>
      <w:pPr>
        <w:jc w:val="both"/>
        <w:rPr>
          <w:rFonts w:ascii="Times New Roman" w:hAnsi="Times New Roman"/>
          <w:sz w:val="20"/>
        </w:rPr>
      </w:pPr>
    </w:p>
    <w:p>
      <w:pPr>
        <w:suppressAutoHyphens/>
        <w:spacing w:line="288" w:lineRule="auto"/>
        <w:jc w:val="center"/>
        <w:textAlignment w:val="baseline"/>
        <w:rPr>
          <w:rFonts w:eastAsia="Droid Sans Fallback" w:cs="FreeSans"/>
          <w:b/>
          <w:color w:val="000000"/>
          <w:kern w:val="3"/>
          <w:szCs w:val="24"/>
          <w:lang w:val="en-US" w:eastAsia="zh-CN" w:bidi="hi-IN"/>
        </w:rPr>
      </w:pPr>
      <w:r>
        <w:rPr>
          <w:rFonts w:ascii="Liberation Serif" w:eastAsia="Droid Sans Fallback" w:hAnsi="Liberation Serif" w:cs="FreeSans"/>
          <w:kern w:val="3"/>
          <w:szCs w:val="24"/>
          <w:lang w:eastAsia="lt-LT"/>
        </w:rPr>
        <w:drawing>
          <wp:inline distT="0" distB="0" distL="0" distR="0">
            <wp:extent cx="515620" cy="625475"/>
            <wp:effectExtent l="0" t="0" r="0" b="3175"/>
            <wp:docPr id="5" name="Picture 2" descr="HERB21"/>
            <wp:cNvGraphicFramePr/>
            <a:graphic xmlns:a="http://schemas.openxmlformats.org/drawingml/2006/main">
              <a:graphicData uri="http://schemas.openxmlformats.org/drawingml/2006/picture">
                <pic:pic xmlns:pic="http://schemas.openxmlformats.org/drawingml/2006/picture">
                  <pic:nvPicPr>
                    <pic:cNvPr id="5" name="Picture 2" descr="HERB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625475"/>
                    </a:xfrm>
                    <a:prstGeom prst="rect">
                      <a:avLst/>
                    </a:prstGeom>
                    <a:noFill/>
                    <a:ln>
                      <a:noFill/>
                    </a:ln>
                  </pic:spPr>
                </pic:pic>
              </a:graphicData>
            </a:graphic>
          </wp:inline>
        </w:drawing>
      </w:r>
      <w:r>
        <w:rPr>
          <w:rFonts w:eastAsia="Droid Sans Fallback" w:cs="FreeSans"/>
          <w:b/>
          <w:color w:val="000000"/>
          <w:kern w:val="3"/>
          <w:szCs w:val="24"/>
          <w:lang w:val="en-US" w:eastAsia="zh-CN" w:bidi="hi-IN"/>
        </w:rPr>
        <w:t xml:space="preserve"> </w:t>
      </w:r>
    </w:p>
    <w:p>
      <w:pPr>
        <w:suppressAutoHyphens/>
        <w:jc w:val="center"/>
        <w:textAlignment w:val="baseline"/>
        <w:rPr>
          <w:rFonts w:eastAsia="Droid Sans Fallback"/>
          <w:b/>
          <w:color w:val="000000"/>
          <w:kern w:val="3"/>
          <w:szCs w:val="24"/>
          <w:lang w:eastAsia="zh-CN" w:bidi="hi-IN"/>
        </w:rPr>
      </w:pPr>
      <w:r>
        <w:rPr>
          <w:rFonts w:eastAsia="Droid Sans Fallback"/>
          <w:b/>
          <w:color w:val="000000"/>
          <w:kern w:val="3"/>
          <w:szCs w:val="24"/>
          <w:lang w:eastAsia="zh-CN" w:bidi="hi-IN"/>
        </w:rPr>
        <w:t>LIETUVOS RESPUBLIKOS APLINKOS MINISTRAS</w:t>
      </w:r>
    </w:p>
    <w:p>
      <w:pPr>
        <w:suppressAutoHyphens/>
        <w:ind w:firstLine="62"/>
        <w:jc w:val="center"/>
        <w:textAlignment w:val="baseline"/>
        <w:rPr>
          <w:rFonts w:eastAsia="Droid Sans Fallback"/>
          <w:color w:val="000000"/>
          <w:kern w:val="3"/>
          <w:szCs w:val="24"/>
          <w:lang w:eastAsia="zh-CN" w:bidi="hi-IN"/>
        </w:rPr>
      </w:pPr>
    </w:p>
    <w:p>
      <w:pPr>
        <w:suppressAutoHyphens/>
        <w:jc w:val="center"/>
        <w:textAlignment w:val="baseline"/>
        <w:rPr>
          <w:rFonts w:eastAsia="Droid Sans Fallback"/>
          <w:b/>
          <w:color w:val="000000"/>
          <w:kern w:val="3"/>
          <w:szCs w:val="24"/>
          <w:lang w:eastAsia="zh-CN" w:bidi="hi-IN"/>
        </w:rPr>
      </w:pPr>
      <w:r>
        <w:rPr>
          <w:rFonts w:eastAsia="Droid Sans Fallback"/>
          <w:b/>
          <w:color w:val="000000"/>
          <w:kern w:val="3"/>
          <w:szCs w:val="24"/>
          <w:lang w:eastAsia="zh-CN" w:bidi="hi-IN"/>
        </w:rPr>
        <w:t>Į S A K Y M A S</w:t>
      </w:r>
    </w:p>
    <w:p>
      <w:pPr>
        <w:suppressAutoHyphens/>
        <w:jc w:val="center"/>
        <w:textAlignment w:val="baseline"/>
        <w:rPr>
          <w:rFonts w:eastAsia="Droid Sans Fallback"/>
          <w:b/>
          <w:color w:val="000000"/>
          <w:kern w:val="3"/>
          <w:szCs w:val="24"/>
          <w:lang w:eastAsia="zh-CN" w:bidi="hi-IN"/>
        </w:rPr>
      </w:pPr>
      <w:r>
        <w:rPr>
          <w:rFonts w:eastAsia="Droid Sans Fallback"/>
          <w:b/>
          <w:color w:val="000000"/>
          <w:kern w:val="3"/>
          <w:szCs w:val="24"/>
          <w:lang w:eastAsia="zh-CN" w:bidi="hi-IN"/>
        </w:rPr>
        <w:t xml:space="preserve">DĖL APLINKOS APSAUGOS VALSTYBINĖS KONTROLĖS  DOKUMENTŲ FORMŲ PATVIRTINIMO</w:t>
      </w:r>
    </w:p>
    <w:p>
      <w:pPr>
        <w:widowControl w:val="0"/>
        <w:suppressAutoHyphens/>
        <w:jc w:val="center"/>
        <w:textAlignment w:val="baseline"/>
        <w:rPr>
          <w:rFonts w:eastAsia="Droid Sans Fallback"/>
          <w:kern w:val="3"/>
          <w:szCs w:val="24"/>
          <w:lang w:eastAsia="zh-CN" w:bidi="hi-IN"/>
        </w:rPr>
      </w:pPr>
    </w:p>
    <w:p>
      <w:pPr>
        <w:widowControl w:val="0"/>
        <w:suppressAutoHyphens/>
        <w:jc w:val="center"/>
        <w:textAlignment w:val="baseline"/>
        <w:rPr>
          <w:rFonts w:eastAsia="Droid Sans Fallback"/>
          <w:kern w:val="3"/>
          <w:szCs w:val="24"/>
          <w:lang w:val="en-US" w:eastAsia="zh-CN" w:bidi="hi-IN"/>
        </w:rPr>
      </w:pPr>
      <w:r>
        <w:rPr>
          <w:rFonts w:eastAsia="Droid Sans Fallback"/>
          <w:kern w:val="3"/>
          <w:szCs w:val="24"/>
          <w:lang w:eastAsia="zh-CN" w:bidi="hi-IN"/>
        </w:rPr>
        <w:t xml:space="preserve">2017 m.  gegužės 11  d. Nr. </w:t>
      </w:r>
      <w:r>
        <w:rPr>
          <w:rFonts w:eastAsia="Droid Sans Fallback"/>
          <w:kern w:val="3"/>
          <w:szCs w:val="24"/>
          <w:lang w:val="en-US" w:eastAsia="zh-CN" w:bidi="hi-IN"/>
        </w:rPr>
        <w:t>D1-393</w:t>
      </w:r>
    </w:p>
    <w:p>
      <w:pPr>
        <w:widowControl w:val="0"/>
        <w:suppressAutoHyphens/>
        <w:jc w:val="center"/>
        <w:textAlignment w:val="baseline"/>
        <w:rPr>
          <w:rFonts w:eastAsia="Droid Sans Fallback"/>
          <w:kern w:val="3"/>
          <w:szCs w:val="24"/>
          <w:lang w:val="en-US" w:eastAsia="zh-CN" w:bidi="hi-IN"/>
        </w:rPr>
      </w:pPr>
    </w:p>
    <w:p>
      <w:pPr>
        <w:widowControl w:val="0"/>
        <w:suppressAutoHyphens/>
        <w:jc w:val="center"/>
        <w:textAlignment w:val="baseline"/>
        <w:rPr>
          <w:rFonts w:eastAsia="Droid Sans Fallback"/>
          <w:kern w:val="3"/>
          <w:szCs w:val="24"/>
          <w:lang w:val="en-US" w:eastAsia="zh-CN" w:bidi="hi-IN"/>
        </w:rPr>
      </w:pPr>
    </w:p>
    <w:p>
      <w:pPr>
        <w:widowControl w:val="0"/>
        <w:suppressAutoHyphens/>
        <w:spacing w:line="360" w:lineRule="auto"/>
        <w:ind w:firstLine="709"/>
        <w:jc w:val="both"/>
        <w:textAlignment w:val="baseline"/>
        <w:rPr>
          <w:rFonts w:ascii="Liberation Serif" w:eastAsia="Droid Sans Fallback" w:hAnsi="Liberation Serif" w:cs="FreeSans"/>
          <w:kern w:val="3"/>
          <w:szCs w:val="24"/>
          <w:lang w:eastAsia="zh-CN" w:bidi="hi-IN"/>
        </w:rPr>
      </w:pPr>
      <w:r>
        <w:rPr>
          <w:rFonts w:eastAsia="Droid Sans Fallback"/>
          <w:color w:val="000000"/>
          <w:kern w:val="3"/>
          <w:szCs w:val="24"/>
          <w:lang w:eastAsia="lt-LT" w:bidi="hi-IN"/>
        </w:rPr>
        <w:t xml:space="preserve">Vadovaudamasis Lietuvos Respublikos aplinkos apsaugos valstybinės kontrolės įstatymo 5 straipsniu, 31 straipsniu ir Lietuvos Respublikos  aplinkos  ministerijos  nuostatų, patvirtintų  1998  m.  rugsėjo  22  d. Lietuvos  Respublikos Vyriausybės nutarimu Nr. 1138 „Dėl Lietuvos  Respublikos  aplinkos  ministerijos  nuostatų patvirtinimo“, 7.2 papunkčiu,</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val="en-US" w:eastAsia="zh-CN" w:bidi="hi-IN"/>
        </w:rPr>
      </w:pPr>
      <w:r>
        <w:rPr>
          <w:rFonts w:eastAsia="Droid Sans Fallback"/>
          <w:color w:val="000000"/>
          <w:kern w:val="3"/>
          <w:szCs w:val="24"/>
          <w:lang w:eastAsia="lt-LT" w:bidi="hi-IN"/>
        </w:rPr>
        <w:t>1</w:t>
      </w:r>
      <w:r>
        <w:rPr>
          <w:rFonts w:eastAsia="Droid Sans Fallback"/>
          <w:color w:val="000000"/>
          <w:kern w:val="3"/>
          <w:szCs w:val="24"/>
          <w:lang w:eastAsia="lt-LT" w:bidi="hi-IN"/>
        </w:rPr>
        <w:t>. T v i r t i n u pridedamas:</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val="en-US" w:eastAsia="zh-CN" w:bidi="hi-IN"/>
        </w:rPr>
      </w:pPr>
      <w:r>
        <w:rPr>
          <w:rFonts w:eastAsia="Droid Sans Fallback"/>
          <w:color w:val="000000"/>
          <w:kern w:val="3"/>
          <w:szCs w:val="24"/>
          <w:lang w:eastAsia="lt-LT" w:bidi="hi-IN"/>
        </w:rPr>
        <w:t>1.1</w:t>
      </w:r>
      <w:r>
        <w:rPr>
          <w:rFonts w:eastAsia="Droid Sans Fallback"/>
          <w:color w:val="000000"/>
          <w:kern w:val="3"/>
          <w:szCs w:val="24"/>
          <w:lang w:eastAsia="lt-LT" w:bidi="hi-IN"/>
        </w:rPr>
        <w:t xml:space="preserve">. </w:t>
      </w:r>
      <w:r>
        <w:rPr>
          <w:rFonts w:eastAsia="Droid Sans Fallback"/>
          <w:kern w:val="3"/>
          <w:szCs w:val="24"/>
          <w:lang w:eastAsia="lt-LT" w:bidi="hi-IN"/>
        </w:rPr>
        <w:t>Privalomojo nurodymo formą;</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val="en-US" w:eastAsia="zh-CN" w:bidi="hi-IN"/>
        </w:rPr>
      </w:pPr>
      <w:r>
        <w:rPr>
          <w:rFonts w:eastAsia="Droid Sans Fallback"/>
          <w:kern w:val="3"/>
          <w:szCs w:val="24"/>
          <w:lang w:eastAsia="lt-LT" w:bidi="hi-IN"/>
        </w:rPr>
        <w:t>1.2</w:t>
      </w:r>
      <w:r>
        <w:rPr>
          <w:rFonts w:eastAsia="Droid Sans Fallback"/>
          <w:kern w:val="3"/>
          <w:szCs w:val="24"/>
          <w:lang w:eastAsia="lt-LT" w:bidi="hi-IN"/>
        </w:rPr>
        <w:t xml:space="preserve">. </w:t>
      </w:r>
      <w:r>
        <w:rPr>
          <w:rFonts w:eastAsia="Droid Sans Fallback"/>
          <w:color w:val="000000"/>
          <w:kern w:val="3"/>
          <w:szCs w:val="24"/>
          <w:lang w:eastAsia="lt-LT" w:bidi="hi-IN"/>
        </w:rPr>
        <w:t>Nutarimo sustabdyti aplinkai kenksmingą veiklą formą;</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val="en-US" w:eastAsia="zh-CN" w:bidi="hi-IN"/>
        </w:rPr>
      </w:pPr>
      <w:r>
        <w:rPr>
          <w:rFonts w:eastAsia="Droid Sans Fallback"/>
          <w:color w:val="000000"/>
          <w:kern w:val="3"/>
          <w:szCs w:val="24"/>
          <w:lang w:eastAsia="lt-LT" w:bidi="hi-IN"/>
        </w:rPr>
        <w:t>1.3</w:t>
      </w:r>
      <w:r>
        <w:rPr>
          <w:rFonts w:eastAsia="Droid Sans Fallback"/>
          <w:color w:val="000000"/>
          <w:kern w:val="3"/>
          <w:szCs w:val="24"/>
          <w:lang w:eastAsia="lt-LT" w:bidi="hi-IN"/>
        </w:rPr>
        <w:t>. Nutarimo sustabdyti aplinkai kenksmingą veiklą nepasibaigus pasirengimo sustabdyti aplinkai kenksmingą veiklą terminui formą;</w:t>
      </w:r>
    </w:p>
    <w:p>
      <w:pPr>
        <w:widowControl w:val="0"/>
        <w:suppressAutoHyphens/>
        <w:spacing w:line="360" w:lineRule="auto"/>
        <w:ind w:firstLine="720"/>
        <w:jc w:val="both"/>
        <w:textAlignment w:val="baseline"/>
        <w:rPr>
          <w:rFonts w:eastAsia="Droid Sans Fallback"/>
          <w:color w:val="000000"/>
          <w:kern w:val="3"/>
          <w:szCs w:val="24"/>
          <w:lang w:eastAsia="lt-LT" w:bidi="hi-IN"/>
        </w:rPr>
      </w:pPr>
      <w:r>
        <w:rPr>
          <w:rFonts w:eastAsia="Droid Sans Fallback"/>
          <w:color w:val="000000"/>
          <w:kern w:val="3"/>
          <w:szCs w:val="24"/>
          <w:lang w:eastAsia="lt-LT" w:bidi="hi-IN"/>
        </w:rPr>
        <w:t>1.4</w:t>
      </w:r>
      <w:r>
        <w:rPr>
          <w:rFonts w:eastAsia="Droid Sans Fallback"/>
          <w:color w:val="000000"/>
          <w:kern w:val="3"/>
          <w:szCs w:val="24"/>
          <w:lang w:eastAsia="lt-LT" w:bidi="hi-IN"/>
        </w:rPr>
        <w:t>. Patikrinimo akto formą;</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val="en-US" w:eastAsia="zh-CN" w:bidi="hi-IN"/>
        </w:rPr>
      </w:pPr>
      <w:r>
        <w:rPr>
          <w:rFonts w:eastAsia="Droid Sans Fallback"/>
          <w:color w:val="000000"/>
          <w:kern w:val="3"/>
          <w:szCs w:val="24"/>
          <w:lang w:eastAsia="lt-LT" w:bidi="hi-IN"/>
        </w:rPr>
        <w:t>1.5</w:t>
      </w:r>
      <w:r>
        <w:rPr>
          <w:rFonts w:eastAsia="Droid Sans Fallback"/>
          <w:color w:val="000000"/>
          <w:kern w:val="3"/>
          <w:szCs w:val="24"/>
          <w:lang w:eastAsia="lt-LT" w:bidi="hi-IN"/>
        </w:rPr>
        <w:t xml:space="preserve">.  Ginklų, ginklų priedėlių, šaudmenų, jų dalių paėmimo protokolo formą.</w:t>
      </w:r>
    </w:p>
    <w:p>
      <w:pPr>
        <w:widowControl w:val="0"/>
        <w:suppressAutoHyphens/>
        <w:spacing w:line="360" w:lineRule="auto"/>
        <w:ind w:firstLine="709"/>
        <w:jc w:val="both"/>
        <w:textAlignment w:val="baseline"/>
        <w:rPr>
          <w:rFonts w:ascii="Liberation Serif" w:eastAsia="Droid Sans Fallback" w:hAnsi="Liberation Serif" w:cs="FreeSans"/>
          <w:kern w:val="3"/>
          <w:szCs w:val="24"/>
          <w:lang w:val="en-US" w:eastAsia="zh-CN" w:bidi="hi-IN"/>
        </w:rPr>
      </w:pPr>
      <w:r>
        <w:rPr>
          <w:rFonts w:eastAsia="Droid Sans Fallback"/>
          <w:color w:val="000000"/>
          <w:kern w:val="3"/>
          <w:szCs w:val="24"/>
          <w:lang w:eastAsia="lt-LT" w:bidi="hi-IN"/>
        </w:rPr>
        <w:t>2</w:t>
      </w:r>
      <w:r>
        <w:rPr>
          <w:rFonts w:eastAsia="Droid Sans Fallback"/>
          <w:color w:val="000000"/>
          <w:kern w:val="3"/>
          <w:szCs w:val="24"/>
          <w:lang w:eastAsia="lt-LT" w:bidi="hi-IN"/>
        </w:rPr>
        <w:t>. N u s t a t a u, kad aplinkos apsaugos valstybinės kontrolės pareigūnai:</w:t>
      </w:r>
    </w:p>
    <w:p>
      <w:pPr>
        <w:suppressAutoHyphens/>
        <w:spacing w:line="360" w:lineRule="auto"/>
        <w:ind w:firstLine="720"/>
        <w:jc w:val="both"/>
        <w:rPr>
          <w:rFonts w:eastAsia="Droid Sans Fallback"/>
          <w:color w:val="000000"/>
          <w:kern w:val="3"/>
          <w:szCs w:val="24"/>
          <w:lang w:eastAsia="lt-LT" w:bidi="hi-IN"/>
        </w:rPr>
      </w:pPr>
      <w:r>
        <w:rPr>
          <w:color w:val="000000"/>
          <w:szCs w:val="24"/>
          <w:lang w:eastAsia="en-GB"/>
        </w:rPr>
        <w:t>2</w:t>
      </w:r>
      <w:r>
        <w:rPr>
          <w:color w:val="000000"/>
          <w:lang w:eastAsia="lt-LT"/>
        </w:rPr>
        <w:t>.1</w:t>
      </w:r>
      <w:r>
        <w:rPr>
          <w:color w:val="000000"/>
          <w:lang w:eastAsia="lt-LT"/>
        </w:rPr>
        <w:t>. Lietuvos Respublikos aplinkos apsaugos valstybinės kontrolės įstatymo 18 straipsnyje numatytais atvejais ir tvarka duoda juridiniams ar fiziniams asmenims privalomuosius nurodymus užpildant šiuo įsakymu patvirtintą Privalomojo nurodymo formą. Privalomojo nurodymo įvykdymo terminai pratęsiami arba atsisakoma juos pratęsti priimant administracinį sprendimą;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54e010cc7c11e8bf37fd1541d65f38">
        <w:r w:rsidRPr="00532B9F">
          <w:rPr>
            <w:rFonts w:ascii="Times New Roman" w:eastAsia="MS Mincho" w:hAnsi="Times New Roman"/>
            <w:sz w:val="20"/>
            <w:i/>
            <w:iCs/>
            <w:color w:val="0000FF" w:themeColor="hyperlink"/>
            <w:u w:val="single"/>
          </w:rPr>
          <w:t>D1-874</w:t>
        </w:r>
      </w:fldSimple>
      <w:r>
        <w:rPr>
          <w:rFonts w:ascii="Times New Roman" w:eastAsia="MS Mincho" w:hAnsi="Times New Roman"/>
          <w:sz w:val="20"/>
          <w:i/>
          <w:iCs/>
        </w:rPr>
        <w:t>,
2018-10-10,
paskelbta TAR 2018-10-10, i. k. 2018-16031            </w:t>
      </w:r>
    </w:p>
    <w:p/>
    <w:p>
      <w:pPr>
        <w:widowControl w:val="0"/>
        <w:suppressAutoHyphens/>
        <w:spacing w:line="360" w:lineRule="auto"/>
        <w:ind w:firstLine="720"/>
        <w:jc w:val="both"/>
        <w:textAlignment w:val="baseline"/>
        <w:rPr>
          <w:rFonts w:ascii="Liberation Serif" w:eastAsia="Droid Sans Fallback" w:hAnsi="Liberation Serif" w:cs="FreeSans"/>
          <w:kern w:val="3"/>
          <w:szCs w:val="24"/>
          <w:lang w:eastAsia="zh-CN" w:bidi="hi-IN"/>
        </w:rPr>
      </w:pPr>
      <w:r>
        <w:rPr>
          <w:rFonts w:eastAsia="Droid Sans Fallback"/>
          <w:color w:val="000000"/>
          <w:kern w:val="3"/>
          <w:szCs w:val="24"/>
          <w:lang w:eastAsia="lt-LT" w:bidi="hi-IN"/>
        </w:rPr>
        <w:t>2.2</w:t>
      </w:r>
      <w:r>
        <w:rPr>
          <w:rFonts w:eastAsia="Droid Sans Fallback"/>
          <w:color w:val="000000"/>
          <w:kern w:val="3"/>
          <w:szCs w:val="24"/>
          <w:lang w:eastAsia="lt-LT" w:bidi="hi-IN"/>
        </w:rPr>
        <w:t xml:space="preserve">.  Lietuvos Respublikos aplinkos apsaugos valstybinės kontrolės įstatymo 25 straipsnyje numatytais atvejais ir tvarka sustabdo juridinių ar fizinių asmenų vykdomą aplinkai kenksmingą veiklą  užpildant Nutarimo sustabdyti aplinkai kenksmingą veiklą formą; </w:t>
      </w:r>
    </w:p>
    <w:p>
      <w:pPr>
        <w:widowControl w:val="0"/>
        <w:suppressAutoHyphens/>
        <w:spacing w:line="360" w:lineRule="auto"/>
        <w:ind w:firstLine="720"/>
        <w:jc w:val="both"/>
        <w:textAlignment w:val="baseline"/>
        <w:rPr>
          <w:rFonts w:eastAsia="Droid Sans Fallback"/>
          <w:color w:val="000000"/>
          <w:kern w:val="3"/>
          <w:szCs w:val="24"/>
          <w:lang w:eastAsia="lt-LT" w:bidi="hi-IN"/>
        </w:rPr>
      </w:pPr>
      <w:r>
        <w:rPr>
          <w:rFonts w:eastAsia="Droid Sans Fallback"/>
          <w:kern w:val="3"/>
          <w:szCs w:val="24"/>
          <w:lang w:eastAsia="zh-CN" w:bidi="hi-IN"/>
        </w:rPr>
        <w:t>2.3</w:t>
      </w:r>
      <w:r>
        <w:rPr>
          <w:rFonts w:eastAsia="Droid Sans Fallback"/>
          <w:kern w:val="3"/>
          <w:szCs w:val="24"/>
          <w:lang w:eastAsia="zh-CN" w:bidi="hi-IN"/>
        </w:rPr>
        <w:t xml:space="preserve">. </w:t>
      </w:r>
      <w:r>
        <w:rPr>
          <w:rFonts w:eastAsia="Droid Sans Fallback"/>
          <w:color w:val="000000"/>
          <w:kern w:val="3"/>
          <w:szCs w:val="24"/>
          <w:lang w:eastAsia="lt-LT" w:bidi="hi-IN"/>
        </w:rPr>
        <w:t xml:space="preserve">Lietuvos Respublikos aplinkos apsaugos valstybinės kontrolės įstatymo 33 straipsnyje nustatytais atvejais </w:t>
      </w:r>
      <w:r>
        <w:rPr>
          <w:rFonts w:eastAsia="Droid Sans Fallback"/>
          <w:kern w:val="3"/>
          <w:szCs w:val="24"/>
          <w:lang w:eastAsia="zh-CN" w:bidi="hi-IN"/>
        </w:rPr>
        <w:t>priima nutarimą sustabdyti aplinkai kenksmingą veiklą nepasibaigus pasirengimo sustabdyti aplinkai kenksmingą veiklą terminui užpildant Nutarimo sustabdyti aplinkai kenksmingą veiklą nepasibaigus pasirengimo sustabdyti aplinkai kenksmingą veiklą terminui formą;</w:t>
      </w:r>
      <w:r>
        <w:rPr>
          <w:rFonts w:eastAsia="Droid Sans Fallback"/>
          <w:color w:val="000000"/>
          <w:kern w:val="3"/>
          <w:szCs w:val="24"/>
          <w:lang w:eastAsia="lt-LT" w:bidi="hi-IN"/>
        </w:rPr>
        <w:tab/>
      </w:r>
    </w:p>
    <w:p>
      <w:pPr>
        <w:widowControl w:val="0"/>
        <w:suppressAutoHyphens/>
        <w:spacing w:line="360" w:lineRule="auto"/>
        <w:ind w:firstLine="709"/>
        <w:jc w:val="both"/>
        <w:textAlignment w:val="baseline"/>
        <w:rPr>
          <w:rFonts w:eastAsia="Droid Sans Fallback"/>
          <w:color w:val="000000"/>
          <w:kern w:val="3"/>
          <w:szCs w:val="24"/>
          <w:lang w:eastAsia="lt-LT" w:bidi="hi-IN"/>
        </w:rPr>
      </w:pPr>
      <w:r>
        <w:rPr>
          <w:rFonts w:eastAsia="Droid Sans Fallback"/>
          <w:color w:val="000000"/>
          <w:kern w:val="3"/>
          <w:szCs w:val="24"/>
          <w:lang w:eastAsia="lt-LT" w:bidi="hi-IN"/>
        </w:rPr>
        <w:t>2.4</w:t>
      </w:r>
      <w:r>
        <w:rPr>
          <w:rFonts w:eastAsia="Droid Sans Fallback"/>
          <w:color w:val="000000"/>
          <w:kern w:val="3"/>
          <w:szCs w:val="24"/>
          <w:lang w:eastAsia="lt-LT" w:bidi="hi-IN"/>
        </w:rPr>
        <w:t>. Lietuvos Respublikos aplinkos apsaugos valstybinės kontrolės įstatyme ir kituose teisės aktuose nustatytais atvejais ir tvarka surašo patikrinimo aktą užpildant šiuo įsakymu patvirtintą Patikrinimo akto formą;</w:t>
      </w:r>
    </w:p>
    <w:p>
      <w:pPr>
        <w:widowControl w:val="0"/>
        <w:suppressAutoHyphens/>
        <w:spacing w:line="360" w:lineRule="auto"/>
        <w:ind w:firstLine="720"/>
        <w:jc w:val="both"/>
        <w:textAlignment w:val="baseline"/>
        <w:rPr>
          <w:rFonts w:ascii="Liberation Serif" w:eastAsia="Droid Sans Fallback" w:hAnsi="Liberation Serif" w:cs="FreeSans"/>
          <w:kern w:val="3"/>
          <w:szCs w:val="24"/>
          <w:lang w:eastAsia="zh-CN" w:bidi="hi-IN"/>
        </w:rPr>
      </w:pPr>
      <w:r>
        <w:rPr>
          <w:rFonts w:eastAsia="Droid Sans Fallback"/>
          <w:color w:val="000000"/>
          <w:kern w:val="3"/>
          <w:szCs w:val="24"/>
          <w:lang w:eastAsia="lt-LT" w:bidi="hi-IN"/>
        </w:rPr>
        <w:t>2.5</w:t>
      </w:r>
      <w:r>
        <w:rPr>
          <w:rFonts w:eastAsia="Droid Sans Fallback"/>
          <w:color w:val="000000"/>
          <w:kern w:val="3"/>
          <w:szCs w:val="24"/>
          <w:lang w:eastAsia="lt-LT" w:bidi="hi-IN"/>
        </w:rPr>
        <w:t>. vadovaujantis Lietuvos Respublikos administracinių nusižengimų kodekso 599 straipsniu, kai iš asmenų paima ginklus, ginklų priedėlius, šaudmenis, jų dalis, privalo pildyti Ginklų, ginklų priedėlių, šaudmenų, jų dalių paėmimo protokolą. Ginklų paėmimo protokolas surašomas 2 (dviem) egzemplioriais. Vienas Ginklų, ginklų priedėlių, šaudmenų, jų dalių paėmimo protokolo egzempliorius pasirašytinai nedelsiant po surašymo įteikiamas asmeniui, iš kurio paimami ginklai, ginklų priedėliai, šaudmenys, jų dalys. Jei asmuo atsisako jį priimti, ginklų, ginklų priedėlių, šaudmenų, jų dalių paėmimo protokolas kitą darbo dieną išsiunčiamas asmeniui registruotu laišku įrašant apie tai protokole.</w:t>
      </w:r>
    </w:p>
    <w:p>
      <w:pPr>
        <w:widowControl w:val="0"/>
        <w:suppressAutoHyphens/>
        <w:spacing w:line="360" w:lineRule="auto"/>
        <w:ind w:firstLine="709"/>
        <w:jc w:val="both"/>
        <w:textAlignment w:val="baseline"/>
        <w:rPr>
          <w:rFonts w:eastAsia="Droid Sans Fallback"/>
          <w:kern w:val="3"/>
          <w:szCs w:val="24"/>
          <w:lang w:eastAsia="zh-CN" w:bidi="hi-IN"/>
        </w:rPr>
      </w:pPr>
      <w:r>
        <w:rPr>
          <w:rFonts w:eastAsia="Droid Sans Fallback"/>
          <w:color w:val="000000"/>
          <w:kern w:val="3"/>
          <w:szCs w:val="24"/>
          <w:lang w:eastAsia="lt-LT" w:bidi="hi-IN"/>
        </w:rPr>
        <w:t>3</w:t>
      </w:r>
      <w:r>
        <w:rPr>
          <w:rFonts w:eastAsia="Droid Sans Fallback"/>
          <w:color w:val="000000"/>
          <w:kern w:val="3"/>
          <w:szCs w:val="24"/>
          <w:lang w:eastAsia="lt-LT" w:bidi="hi-IN"/>
        </w:rPr>
        <w:t xml:space="preserve">. P r i p a ž į s t u  netekusiu galios Lietuvos Respublikos aplinkos ministro 2002 m. gruodžio 21 d. įsakymą Nr. 661 „Dėl privalomojo nurodymo ir nutarimo sustabdyti aplinkai kenksmingą veiklą blankų formų patvirtinimo“ su visais pakeitimais ir papildymais. </w:t>
      </w:r>
    </w:p>
    <w:p>
      <w:pPr>
        <w:widowControl w:val="0"/>
        <w:suppressAutoHyphens/>
        <w:spacing w:line="276" w:lineRule="auto"/>
        <w:textAlignment w:val="baseline"/>
      </w:pPr>
    </w:p>
    <w:p>
      <w:pPr>
        <w:widowControl w:val="0"/>
        <w:suppressAutoHyphens/>
        <w:spacing w:line="276" w:lineRule="auto"/>
        <w:textAlignment w:val="baseline"/>
      </w:pPr>
    </w:p>
    <w:p>
      <w:pPr>
        <w:widowControl w:val="0"/>
        <w:suppressAutoHyphens/>
        <w:spacing w:line="276" w:lineRule="auto"/>
        <w:textAlignment w:val="baseline"/>
      </w:pPr>
    </w:p>
    <w:p>
      <w:pPr>
        <w:widowControl w:val="0"/>
        <w:suppressAutoHyphens/>
        <w:spacing w:line="276" w:lineRule="auto"/>
        <w:textAlignment w:val="baseline"/>
        <w:rPr>
          <w:rFonts w:ascii="Liberation Serif" w:eastAsia="Droid Sans Fallback" w:hAnsi="Liberation Serif" w:cs="FreeSans"/>
          <w:kern w:val="3"/>
          <w:szCs w:val="24"/>
          <w:lang w:val="en-US" w:eastAsia="lt-LT" w:bidi="hi-IN"/>
        </w:rPr>
      </w:pPr>
      <w:r>
        <w:rPr>
          <w:rFonts w:eastAsia="Droid Sans Fallback"/>
          <w:color w:val="000000"/>
          <w:kern w:val="3"/>
          <w:szCs w:val="24"/>
          <w:lang w:eastAsia="lt-LT" w:bidi="hi-IN"/>
        </w:rPr>
        <w:t>Aplinkos ministras</w:t>
        <w:tab/>
        <w:tab/>
        <w:tab/>
        <w:tab/>
        <w:tab/>
        <w:tab/>
        <w:tab/>
        <w:tab/>
        <w:tab/>
        <w:t xml:space="preserve">Kęstutis Navickas </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Privalomojo nurodymo forma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54e010cc7c11e8bf37fd1541d65f38">
        <w:r w:rsidRPr="00532B9F">
          <w:rPr>
            <w:rFonts w:ascii="Times New Roman" w:eastAsia="MS Mincho" w:hAnsi="Times New Roman"/>
            <w:sz w:val="20"/>
            <w:i/>
            <w:iCs/>
            <w:color w:val="0000FF" w:themeColor="hyperlink"/>
            <w:u w:val="single"/>
          </w:rPr>
          <w:t>D1-874</w:t>
        </w:r>
      </w:fldSimple>
      <w:r>
        <w:rPr>
          <w:rFonts w:ascii="Times New Roman" w:eastAsia="MS Mincho" w:hAnsi="Times New Roman"/>
          <w:sz w:val="20"/>
          <w:i/>
          <w:iCs/>
        </w:rPr>
        <w:t>,
2018-10-10,
paskelbta TAR 2018-10-10, i. k. 2018-16031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54e010cc7c11e8bf37fd1541d65f38">
        <w:r w:rsidRPr="00532B9F">
          <w:rPr>
            <w:rFonts w:ascii="Times New Roman" w:eastAsia="MS Mincho" w:hAnsi="Times New Roman"/>
            <w:sz w:val="20"/>
            <w:iCs/>
            <w:color w:val="0000FF" w:themeColor="hyperlink"/>
            <w:u w:val="single"/>
          </w:rPr>
          <w:t>D1-874</w:t>
        </w:r>
      </w:fldSimple>
      <w:r>
        <w:rPr>
          <w:rFonts w:ascii="Times New Roman" w:eastAsia="MS Mincho" w:hAnsi="Times New Roman"/>
          <w:sz w:val="20"/>
          <w:iCs/>
        </w:rPr>
        <w:t>,
2018-10-10,
paskelbta TAR 2018-10-10, i. k. 2018-16031                </w:t>
      </w:r>
    </w:p>
    <w:p>
      <w:pPr>
        <w:jc w:val="both"/>
        <w:rPr>
          <w:rFonts w:ascii="Times New Roman" w:hAnsi="Times New Roman"/>
        </w:rPr>
      </w:pPr>
      <w:r>
        <w:rPr>
          <w:rFonts w:ascii="Times New Roman" w:hAnsi="Times New Roman"/>
          <w:sz w:val="20"/>
        </w:rPr>
        <w:t>Dėl Lietuvos Respublikos aplinkos ministro 2017 m. gegužės 11 d. įsakymo Nr. D1-393 „Dėl Aplinkos apsaugos valstybinės kontrolės dokumentų formų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cols w:space="129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pPr>
        <w:widowControl w:val="0"/>
        <w:textAlignment w:val="baseline"/>
        <w:rPr>
          <w:rFonts w:ascii="Liberation Serif" w:eastAsia="Droid Sans Fallback" w:hAnsi="Liberation Serif" w:cs="FreeSans"/>
          <w:kern w:val="3"/>
          <w:szCs w:val="24"/>
          <w:lang w:val="en-US" w:eastAsia="zh-CN" w:bidi="hi-IN"/>
        </w:rPr>
      </w:pPr>
      <w:r>
        <w:rPr>
          <w:rFonts w:ascii="Liberation Serif" w:eastAsia="Droid Sans Fallback" w:hAnsi="Liberation Serif" w:cs="FreeSans"/>
          <w:kern w:val="3"/>
          <w:szCs w:val="24"/>
          <w:lang w:val="en-US" w:eastAsia="zh-CN" w:bidi="hi-IN"/>
        </w:rPr>
        <w:separator/>
      </w:r>
    </w:p>
  </w:endnote>
  <w:endnote w:type="continuationSeparator" w:id="0">
    <w:p>
      <w:pPr>
        <w:widowControl w:val="0"/>
        <w:textAlignment w:val="baseline"/>
        <w:rPr>
          <w:rFonts w:ascii="Liberation Serif" w:eastAsia="Droid Sans Fallback" w:hAnsi="Liberation Serif" w:cs="FreeSans"/>
          <w:kern w:val="3"/>
          <w:szCs w:val="24"/>
          <w:lang w:val="en-US" w:eastAsia="zh-CN" w:bidi="hi-IN"/>
        </w:rPr>
      </w:pPr>
      <w:r>
        <w:rPr>
          <w:rFonts w:ascii="Liberation Serif" w:eastAsia="Droid Sans Fallback" w:hAnsi="Liberation Serif" w:cs="FreeSans"/>
          <w:kern w:val="3"/>
          <w:szCs w:val="24"/>
          <w:lang w:val="en-US" w:eastAsia="zh-CN" w:bidi="hi-IN"/>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2020603050405020304"/>
    <w:charset w:val="BA"/>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pPr>
        <w:widowControl w:val="0"/>
        <w:textAlignment w:val="baseline"/>
        <w:rPr>
          <w:rFonts w:ascii="Liberation Serif" w:eastAsia="Droid Sans Fallback" w:hAnsi="Liberation Serif" w:cs="FreeSans"/>
          <w:kern w:val="3"/>
          <w:szCs w:val="24"/>
          <w:lang w:val="en-US" w:eastAsia="zh-CN" w:bidi="hi-IN"/>
        </w:rPr>
      </w:pPr>
      <w:r>
        <w:rPr>
          <w:rFonts w:ascii="Liberation Serif" w:eastAsia="Droid Sans Fallback" w:hAnsi="Liberation Serif" w:cs="FreeSans"/>
          <w:color w:val="000000"/>
          <w:kern w:val="3"/>
          <w:szCs w:val="24"/>
          <w:lang w:val="en-US" w:eastAsia="zh-CN" w:bidi="hi-IN"/>
        </w:rPr>
        <w:separator/>
      </w:r>
    </w:p>
  </w:footnote>
  <w:footnote w:type="continuationSeparator" w:id="0">
    <w:p>
      <w:pPr>
        <w:widowControl w:val="0"/>
        <w:textAlignment w:val="baseline"/>
        <w:rPr>
          <w:rFonts w:ascii="Liberation Serif" w:eastAsia="Droid Sans Fallback" w:hAnsi="Liberation Serif" w:cs="FreeSans"/>
          <w:kern w:val="3"/>
          <w:szCs w:val="24"/>
          <w:lang w:val="en-US" w:eastAsia="zh-CN" w:bidi="hi-IN"/>
        </w:rPr>
      </w:pPr>
      <w:r>
        <w:rPr>
          <w:rFonts w:ascii="Liberation Serif" w:eastAsia="Droid Sans Fallback" w:hAnsi="Liberation Serif" w:cs="FreeSans"/>
          <w:kern w:val="3"/>
          <w:szCs w:val="24"/>
          <w:lang w:val="en-US" w:eastAsia="zh-CN" w:bidi="hi-IN"/>
        </w:rPr>
        <w:continuationSeparator/>
      </w:r>
    </w:p>
  </w:footnote>
</w:footnote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
  <w:rsids>
    <w:rsidRoot w:val="005A2C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D1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file>

<file path=word/_rels/document.xml.rels><?xml version="1.0" encoding="UTF-8"?>

<Relationships xmlns="http://schemas.openxmlformats.org/package/2006/relationships">
  <Relationship Id="rId1" Type="http://schemas.openxmlformats.org/officeDocument/2006/relationships/endnotes" Target="endnotes.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Pages>
  <Words>2219</Words>
  <Characters>1265</Characters>
  <Application>Microsoft Office Word</Application>
  <DocSecurity>0</DocSecurity>
  <Lines>10</Lines>
  <Paragraphs>6</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Hewlett-Packard Company</Company>
  <LinksUpToDate>false</LinksUpToDate>
  <CharactersWithSpaces>3478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2017-05-15T06:03:00Z</dcterms:created>
  <dc:creator>kompas</dc:creator>
  <lastModifiedBy>JUOSPONIENĖ Karolina</lastModifiedBy>
  <lastPrinted>2017-05-04T13:10:00Z</lastPrinted>
  <dcterms:modified xsi:type="dcterms:W3CDTF">2018-10-11T10:37:00Z</dcterms:modified>
  <revision>5</revision>
</coreProperties>
</file>